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C69DC" w14:textId="77777777" w:rsidR="0047017F" w:rsidRPr="009579CE" w:rsidRDefault="0047017F" w:rsidP="009579CE">
      <w:pPr>
        <w:autoSpaceDE w:val="0"/>
        <w:autoSpaceDN w:val="0"/>
        <w:bidi w:val="0"/>
        <w:adjustRightInd w:val="0"/>
        <w:spacing w:after="0" w:line="240" w:lineRule="auto"/>
        <w:rPr>
          <w:rFonts w:cs="Calibri"/>
          <w:b/>
          <w:bCs/>
          <w:sz w:val="40"/>
          <w:szCs w:val="40"/>
        </w:rPr>
      </w:pPr>
      <w:bookmarkStart w:id="0" w:name="_GoBack"/>
      <w:bookmarkEnd w:id="0"/>
    </w:p>
    <w:p w14:paraId="4515C8C1" w14:textId="77777777" w:rsidR="0047017F" w:rsidRDefault="0047017F" w:rsidP="00AF1F8A">
      <w:pPr>
        <w:autoSpaceDE w:val="0"/>
        <w:autoSpaceDN w:val="0"/>
        <w:bidi w:val="0"/>
        <w:adjustRightInd w:val="0"/>
        <w:spacing w:after="0" w:line="240" w:lineRule="auto"/>
        <w:rPr>
          <w:rFonts w:cs="Calibri"/>
          <w:b/>
          <w:bCs/>
          <w:sz w:val="32"/>
          <w:szCs w:val="32"/>
        </w:rPr>
      </w:pPr>
      <w:r w:rsidRPr="00776320">
        <w:rPr>
          <w:rFonts w:cs="Calibri"/>
          <w:b/>
          <w:bCs/>
          <w:sz w:val="32"/>
          <w:szCs w:val="32"/>
          <w:bdr w:val="single" w:sz="4" w:space="0" w:color="auto"/>
          <w:shd w:val="clear" w:color="auto" w:fill="D9D9D9"/>
        </w:rPr>
        <w:t xml:space="preserve">  EXTENDED ABSTRACT</w:t>
      </w:r>
      <w:r w:rsidRPr="00776320">
        <w:rPr>
          <w:rFonts w:cs="Calibri"/>
          <w:b/>
          <w:bCs/>
          <w:color w:val="D9D9D9"/>
          <w:sz w:val="32"/>
          <w:szCs w:val="32"/>
          <w:bdr w:val="single" w:sz="4" w:space="0" w:color="auto"/>
          <w:shd w:val="clear" w:color="auto" w:fill="D9D9D9"/>
        </w:rPr>
        <w:t>S</w:t>
      </w:r>
      <w:r>
        <w:rPr>
          <w:rFonts w:cs="Calibri"/>
          <w:b/>
          <w:bCs/>
          <w:sz w:val="32"/>
          <w:szCs w:val="32"/>
          <w:bdr w:val="single" w:sz="4" w:space="0" w:color="auto"/>
        </w:rPr>
        <w:t xml:space="preserve">  </w:t>
      </w:r>
      <w:r w:rsidRPr="00AF1F8A">
        <w:rPr>
          <w:rFonts w:cs="Calibri"/>
          <w:b/>
          <w:bCs/>
          <w:sz w:val="32"/>
          <w:szCs w:val="32"/>
          <w:bdr w:val="single" w:sz="4" w:space="0" w:color="auto"/>
        </w:rPr>
        <w:t xml:space="preserve"> </w:t>
      </w:r>
    </w:p>
    <w:p w14:paraId="6FC377EA" w14:textId="77777777" w:rsidR="0047017F" w:rsidRDefault="0047017F" w:rsidP="005C1A5D">
      <w:pPr>
        <w:autoSpaceDE w:val="0"/>
        <w:autoSpaceDN w:val="0"/>
        <w:bidi w:val="0"/>
        <w:adjustRightInd w:val="0"/>
        <w:spacing w:after="0" w:line="240" w:lineRule="auto"/>
        <w:rPr>
          <w:rFonts w:cs="Calibri"/>
          <w:b/>
          <w:bCs/>
          <w:sz w:val="32"/>
          <w:szCs w:val="32"/>
        </w:rPr>
      </w:pPr>
    </w:p>
    <w:p w14:paraId="38DC4A1D" w14:textId="1D8138BC" w:rsidR="0047017F" w:rsidRPr="00A468FE" w:rsidRDefault="00AC6B19" w:rsidP="005C1A5D">
      <w:pPr>
        <w:autoSpaceDE w:val="0"/>
        <w:autoSpaceDN w:val="0"/>
        <w:bidi w:val="0"/>
        <w:adjustRightInd w:val="0"/>
        <w:spacing w:after="0" w:line="240" w:lineRule="auto"/>
        <w:rPr>
          <w:rFonts w:cs="Calibri"/>
          <w:b/>
          <w:bCs/>
          <w:sz w:val="32"/>
          <w:szCs w:val="32"/>
        </w:rPr>
      </w:pPr>
      <w:r w:rsidRPr="00AC6B19">
        <w:rPr>
          <w:rFonts w:cs="Calibri"/>
          <w:b/>
          <w:bCs/>
          <w:sz w:val="32"/>
          <w:szCs w:val="32"/>
        </w:rPr>
        <w:t xml:space="preserve">Investigating the effect of saturated sand layer thickness on the performance of deep soil mixing columns and </w:t>
      </w:r>
      <w:r>
        <w:rPr>
          <w:rFonts w:cs="Calibri"/>
          <w:b/>
          <w:bCs/>
          <w:sz w:val="32"/>
          <w:szCs w:val="32"/>
        </w:rPr>
        <w:t>gravel</w:t>
      </w:r>
      <w:r w:rsidRPr="00AC6B19">
        <w:rPr>
          <w:rFonts w:cs="Calibri"/>
          <w:b/>
          <w:bCs/>
          <w:sz w:val="32"/>
          <w:szCs w:val="32"/>
        </w:rPr>
        <w:t xml:space="preserve"> columns in reducing risks caused by liquefaction</w:t>
      </w:r>
    </w:p>
    <w:p w14:paraId="761408FB" w14:textId="77777777" w:rsidR="0047017F" w:rsidRPr="00433F07" w:rsidRDefault="0047017F" w:rsidP="00E1592C">
      <w:pPr>
        <w:autoSpaceDE w:val="0"/>
        <w:autoSpaceDN w:val="0"/>
        <w:bidi w:val="0"/>
        <w:adjustRightInd w:val="0"/>
        <w:spacing w:after="0" w:line="240" w:lineRule="auto"/>
        <w:rPr>
          <w:rFonts w:ascii="Times New Roman" w:hAnsi="Times New Roman" w:cs="Times New Roman"/>
          <w:sz w:val="32"/>
          <w:szCs w:val="32"/>
        </w:rPr>
      </w:pPr>
    </w:p>
    <w:p w14:paraId="79A98C34" w14:textId="1FB2EBE4" w:rsidR="0047017F" w:rsidRPr="009C278E" w:rsidRDefault="00AC6B19" w:rsidP="00353A87">
      <w:pPr>
        <w:autoSpaceDE w:val="0"/>
        <w:autoSpaceDN w:val="0"/>
        <w:bidi w:val="0"/>
        <w:adjustRightInd w:val="0"/>
        <w:spacing w:after="0" w:line="240" w:lineRule="auto"/>
        <w:rPr>
          <w:rFonts w:asciiTheme="minorHAnsi" w:hAnsiTheme="minorHAnsi" w:cstheme="minorHAnsi"/>
          <w:vertAlign w:val="superscript"/>
        </w:rPr>
      </w:pPr>
      <w:r>
        <w:rPr>
          <w:rFonts w:asciiTheme="minorHAnsi" w:hAnsiTheme="minorHAnsi" w:cstheme="minorHAnsi"/>
        </w:rPr>
        <w:t>Gholi Asadzadeh Khoshemehr</w:t>
      </w:r>
      <w:r w:rsidR="00DA4845">
        <w:rPr>
          <w:rFonts w:asciiTheme="minorHAnsi" w:hAnsiTheme="minorHAnsi" w:cstheme="minorHAnsi"/>
        </w:rPr>
        <w:t xml:space="preserve"> </w:t>
      </w:r>
      <w:r w:rsidR="00DA4845">
        <w:rPr>
          <w:rFonts w:asciiTheme="minorHAnsi" w:hAnsiTheme="minorHAnsi" w:cstheme="minorHAnsi"/>
          <w:vertAlign w:val="superscript"/>
        </w:rPr>
        <w:t>a</w:t>
      </w:r>
      <w:r w:rsidR="0047017F" w:rsidRPr="009C278E">
        <w:rPr>
          <w:rFonts w:asciiTheme="minorHAnsi" w:hAnsiTheme="minorHAnsi" w:cstheme="minorHAnsi"/>
        </w:rPr>
        <w:t xml:space="preserve">, </w:t>
      </w:r>
      <w:r>
        <w:rPr>
          <w:rFonts w:asciiTheme="minorHAnsi" w:hAnsiTheme="minorHAnsi" w:cstheme="minorHAnsi"/>
        </w:rPr>
        <w:t>Hadi Bahadori</w:t>
      </w:r>
      <w:bookmarkStart w:id="1" w:name="OLE_LINK1"/>
      <w:bookmarkStart w:id="2" w:name="OLE_LINK2"/>
      <w:r>
        <w:rPr>
          <w:rFonts w:asciiTheme="minorHAnsi" w:hAnsiTheme="minorHAnsi" w:cstheme="minorHAnsi"/>
        </w:rPr>
        <w:t xml:space="preserve"> </w:t>
      </w:r>
      <w:r w:rsidR="0047017F" w:rsidRPr="009C278E">
        <w:rPr>
          <w:rFonts w:asciiTheme="minorHAnsi" w:hAnsiTheme="minorHAnsi" w:cstheme="minorHAnsi"/>
          <w:vertAlign w:val="superscript"/>
        </w:rPr>
        <w:t>b</w:t>
      </w:r>
      <w:bookmarkEnd w:id="1"/>
      <w:bookmarkEnd w:id="2"/>
      <w:r w:rsidRPr="009C278E">
        <w:rPr>
          <w:rFonts w:asciiTheme="minorHAnsi" w:hAnsiTheme="minorHAnsi" w:cstheme="minorHAnsi"/>
          <w:vertAlign w:val="superscript"/>
        </w:rPr>
        <w:t>,*</w:t>
      </w:r>
    </w:p>
    <w:p w14:paraId="78748D04" w14:textId="77777777" w:rsidR="0047017F" w:rsidRPr="00A5583B" w:rsidRDefault="0047017F" w:rsidP="00353A87">
      <w:pPr>
        <w:autoSpaceDE w:val="0"/>
        <w:autoSpaceDN w:val="0"/>
        <w:bidi w:val="0"/>
        <w:adjustRightInd w:val="0"/>
        <w:spacing w:after="0" w:line="240" w:lineRule="auto"/>
        <w:rPr>
          <w:rFonts w:ascii="Cambria" w:hAnsi="Cambria" w:cs="Times New Roman"/>
          <w:sz w:val="20"/>
          <w:szCs w:val="20"/>
        </w:rPr>
      </w:pPr>
    </w:p>
    <w:p w14:paraId="2A52C279" w14:textId="5C322A90" w:rsidR="0047017F" w:rsidRPr="009C278E" w:rsidRDefault="0047017F" w:rsidP="00D7035E">
      <w:pPr>
        <w:autoSpaceDE w:val="0"/>
        <w:autoSpaceDN w:val="0"/>
        <w:bidi w:val="0"/>
        <w:adjustRightInd w:val="0"/>
        <w:spacing w:after="0"/>
        <w:rPr>
          <w:rFonts w:asciiTheme="minorHAnsi" w:hAnsiTheme="minorHAnsi" w:cstheme="minorHAnsi"/>
          <w:i/>
          <w:iCs/>
          <w:sz w:val="20"/>
          <w:szCs w:val="20"/>
        </w:rPr>
      </w:pPr>
      <w:r w:rsidRPr="009C278E">
        <w:rPr>
          <w:rFonts w:asciiTheme="minorHAnsi" w:hAnsiTheme="minorHAnsi" w:cstheme="minorHAnsi"/>
          <w:sz w:val="20"/>
          <w:szCs w:val="20"/>
          <w:vertAlign w:val="superscript"/>
        </w:rPr>
        <w:t>a</w:t>
      </w:r>
      <w:r w:rsidRPr="009C278E">
        <w:rPr>
          <w:rFonts w:asciiTheme="minorHAnsi" w:hAnsiTheme="minorHAnsi" w:cstheme="minorHAnsi"/>
          <w:i/>
          <w:iCs/>
          <w:sz w:val="20"/>
          <w:szCs w:val="20"/>
          <w:vertAlign w:val="superscript"/>
        </w:rPr>
        <w:t xml:space="preserve"> </w:t>
      </w:r>
      <w:bookmarkStart w:id="3" w:name="_Hlk115042976"/>
      <w:r w:rsidR="00DA4845" w:rsidRPr="00DA4845">
        <w:rPr>
          <w:rFonts w:asciiTheme="minorHAnsi" w:hAnsiTheme="minorHAnsi" w:cstheme="minorHAnsi"/>
          <w:i/>
          <w:iCs/>
          <w:sz w:val="20"/>
          <w:szCs w:val="20"/>
        </w:rPr>
        <w:t>Ph.D. Candidate,</w:t>
      </w:r>
      <w:r w:rsidR="00DA4845" w:rsidRPr="009C278E">
        <w:rPr>
          <w:rFonts w:asciiTheme="minorHAnsi" w:hAnsiTheme="minorHAnsi" w:cstheme="minorHAnsi"/>
          <w:i/>
          <w:iCs/>
          <w:sz w:val="20"/>
          <w:szCs w:val="20"/>
        </w:rPr>
        <w:t xml:space="preserve"> </w:t>
      </w:r>
      <w:r w:rsidRPr="009C278E">
        <w:rPr>
          <w:rFonts w:asciiTheme="minorHAnsi" w:hAnsiTheme="minorHAnsi" w:cstheme="minorHAnsi"/>
          <w:i/>
          <w:iCs/>
          <w:sz w:val="20"/>
          <w:szCs w:val="20"/>
        </w:rPr>
        <w:t xml:space="preserve">Faculty of Civil Engineering, University of </w:t>
      </w:r>
      <w:r w:rsidR="006C1BC0">
        <w:rPr>
          <w:rFonts w:asciiTheme="minorHAnsi" w:hAnsiTheme="minorHAnsi" w:cstheme="minorHAnsi"/>
          <w:i/>
          <w:iCs/>
          <w:sz w:val="20"/>
          <w:szCs w:val="20"/>
        </w:rPr>
        <w:t>Urmia</w:t>
      </w:r>
      <w:r w:rsidRPr="009C278E">
        <w:rPr>
          <w:rFonts w:asciiTheme="minorHAnsi" w:hAnsiTheme="minorHAnsi" w:cstheme="minorHAnsi"/>
          <w:i/>
          <w:iCs/>
          <w:sz w:val="20"/>
          <w:szCs w:val="20"/>
        </w:rPr>
        <w:t xml:space="preserve">, </w:t>
      </w:r>
      <w:r w:rsidR="006C1BC0">
        <w:rPr>
          <w:rFonts w:asciiTheme="minorHAnsi" w:hAnsiTheme="minorHAnsi" w:cstheme="minorHAnsi"/>
          <w:i/>
          <w:iCs/>
          <w:sz w:val="20"/>
          <w:szCs w:val="20"/>
        </w:rPr>
        <w:t>Urmia</w:t>
      </w:r>
      <w:r w:rsidRPr="009C278E">
        <w:rPr>
          <w:rFonts w:asciiTheme="minorHAnsi" w:hAnsiTheme="minorHAnsi" w:cstheme="minorHAnsi"/>
          <w:i/>
          <w:iCs/>
          <w:sz w:val="20"/>
          <w:szCs w:val="20"/>
        </w:rPr>
        <w:t>, Iran</w:t>
      </w:r>
      <w:bookmarkEnd w:id="3"/>
    </w:p>
    <w:p w14:paraId="43FB64B6" w14:textId="699611D4" w:rsidR="0047017F" w:rsidRPr="009C278E" w:rsidRDefault="0047017F" w:rsidP="004115A2">
      <w:pPr>
        <w:autoSpaceDE w:val="0"/>
        <w:autoSpaceDN w:val="0"/>
        <w:bidi w:val="0"/>
        <w:adjustRightInd w:val="0"/>
        <w:spacing w:after="0" w:line="240" w:lineRule="auto"/>
        <w:rPr>
          <w:rFonts w:asciiTheme="minorHAnsi" w:hAnsiTheme="minorHAnsi" w:cstheme="minorHAnsi"/>
          <w:i/>
          <w:iCs/>
          <w:sz w:val="20"/>
          <w:szCs w:val="20"/>
        </w:rPr>
      </w:pPr>
      <w:r w:rsidRPr="009C278E">
        <w:rPr>
          <w:rFonts w:asciiTheme="minorHAnsi" w:hAnsiTheme="minorHAnsi" w:cstheme="minorHAnsi"/>
          <w:sz w:val="20"/>
          <w:szCs w:val="20"/>
          <w:vertAlign w:val="superscript"/>
        </w:rPr>
        <w:t xml:space="preserve">b </w:t>
      </w:r>
      <w:r w:rsidR="00A1112A" w:rsidRPr="00A1112A">
        <w:rPr>
          <w:rFonts w:asciiTheme="minorHAnsi" w:hAnsiTheme="minorHAnsi" w:cstheme="minorHAnsi"/>
          <w:i/>
          <w:iCs/>
          <w:sz w:val="20"/>
          <w:szCs w:val="20"/>
        </w:rPr>
        <w:t>Professor,</w:t>
      </w:r>
      <w:r w:rsidR="00A1112A" w:rsidRPr="00DA4845">
        <w:rPr>
          <w:rFonts w:asciiTheme="minorHAnsi" w:hAnsiTheme="minorHAnsi" w:cstheme="minorHAnsi"/>
          <w:i/>
          <w:iCs/>
          <w:sz w:val="20"/>
          <w:szCs w:val="20"/>
        </w:rPr>
        <w:t xml:space="preserve"> </w:t>
      </w:r>
      <w:r w:rsidR="00DA4845" w:rsidRPr="00DA4845">
        <w:rPr>
          <w:rFonts w:asciiTheme="minorHAnsi" w:hAnsiTheme="minorHAnsi" w:cstheme="minorHAnsi"/>
          <w:i/>
          <w:iCs/>
          <w:sz w:val="20"/>
          <w:szCs w:val="20"/>
        </w:rPr>
        <w:t>Faculty of Civil Engineering, University of Urmia, Urmia, Iran</w:t>
      </w:r>
    </w:p>
    <w:p w14:paraId="1E538245" w14:textId="77777777" w:rsidR="0047017F" w:rsidRPr="00225250" w:rsidRDefault="0047017F" w:rsidP="007544E4">
      <w:pPr>
        <w:autoSpaceDE w:val="0"/>
        <w:autoSpaceDN w:val="0"/>
        <w:bidi w:val="0"/>
        <w:adjustRightInd w:val="0"/>
        <w:spacing w:after="0" w:line="240" w:lineRule="auto"/>
        <w:rPr>
          <w:rFonts w:ascii="Cambria" w:hAnsi="Cambria" w:cs="Times New Roman"/>
          <w:sz w:val="28"/>
          <w:szCs w:val="28"/>
        </w:rPr>
      </w:pPr>
    </w:p>
    <w:p w14:paraId="04B956FA" w14:textId="2A84ABC7" w:rsidR="0047017F" w:rsidRPr="00EC17AA" w:rsidRDefault="0047017F" w:rsidP="00107498">
      <w:pPr>
        <w:autoSpaceDE w:val="0"/>
        <w:autoSpaceDN w:val="0"/>
        <w:bidi w:val="0"/>
        <w:adjustRightInd w:val="0"/>
        <w:spacing w:after="0" w:line="240" w:lineRule="auto"/>
        <w:rPr>
          <w:rFonts w:cs="Calibri"/>
          <w:sz w:val="20"/>
          <w:szCs w:val="20"/>
        </w:rPr>
      </w:pPr>
      <w:r w:rsidRPr="00EC17AA">
        <w:rPr>
          <w:rFonts w:cs="Calibri"/>
          <w:b/>
          <w:bCs/>
          <w:sz w:val="20"/>
          <w:szCs w:val="20"/>
        </w:rPr>
        <w:t>Received:</w:t>
      </w:r>
      <w:r w:rsidRPr="00EC17AA">
        <w:rPr>
          <w:rFonts w:cs="Calibri"/>
          <w:sz w:val="20"/>
          <w:szCs w:val="20"/>
        </w:rPr>
        <w:t xml:space="preserve"> </w:t>
      </w:r>
      <w:r w:rsidR="00A1112A">
        <w:rPr>
          <w:rFonts w:cs="Calibri"/>
          <w:sz w:val="20"/>
          <w:szCs w:val="20"/>
        </w:rPr>
        <w:t>………………..</w:t>
      </w:r>
      <w:r w:rsidRPr="00EC17AA">
        <w:rPr>
          <w:rFonts w:cs="Calibri"/>
          <w:sz w:val="20"/>
          <w:szCs w:val="20"/>
        </w:rPr>
        <w:t>;</w:t>
      </w:r>
      <w:r>
        <w:rPr>
          <w:rFonts w:cs="Calibri"/>
          <w:sz w:val="20"/>
          <w:szCs w:val="20"/>
        </w:rPr>
        <w:t xml:space="preserve"> </w:t>
      </w:r>
      <w:r w:rsidRPr="00EC17AA">
        <w:rPr>
          <w:rFonts w:cs="Calibri"/>
          <w:b/>
          <w:bCs/>
          <w:sz w:val="20"/>
          <w:szCs w:val="20"/>
        </w:rPr>
        <w:t>Accepted:</w:t>
      </w:r>
      <w:r w:rsidRPr="00EC17AA">
        <w:rPr>
          <w:rFonts w:cs="Calibri"/>
          <w:sz w:val="20"/>
          <w:szCs w:val="20"/>
        </w:rPr>
        <w:t xml:space="preserve"> </w:t>
      </w:r>
      <w:r w:rsidR="00A1112A">
        <w:rPr>
          <w:rFonts w:cs="Calibri"/>
          <w:sz w:val="20"/>
          <w:szCs w:val="20"/>
        </w:rPr>
        <w:t>…………………..</w:t>
      </w:r>
    </w:p>
    <w:p w14:paraId="554A7A5A" w14:textId="77777777" w:rsidR="0047017F" w:rsidRPr="00225250" w:rsidRDefault="0047017F" w:rsidP="00B71670">
      <w:pPr>
        <w:autoSpaceDE w:val="0"/>
        <w:autoSpaceDN w:val="0"/>
        <w:bidi w:val="0"/>
        <w:adjustRightInd w:val="0"/>
        <w:spacing w:after="0" w:line="240" w:lineRule="auto"/>
        <w:jc w:val="center"/>
        <w:rPr>
          <w:rFonts w:ascii="Times New Roman" w:hAnsi="Times New Roman" w:cs="Times New Roman"/>
          <w:sz w:val="20"/>
          <w:szCs w:val="20"/>
        </w:rPr>
      </w:pPr>
    </w:p>
    <w:p w14:paraId="2544BE1E" w14:textId="77777777" w:rsidR="0047017F" w:rsidRPr="00B1331D" w:rsidRDefault="0047017F" w:rsidP="00225250">
      <w:pPr>
        <w:pBdr>
          <w:top w:val="single" w:sz="4" w:space="1" w:color="auto"/>
        </w:pBdr>
        <w:autoSpaceDE w:val="0"/>
        <w:autoSpaceDN w:val="0"/>
        <w:bidi w:val="0"/>
        <w:adjustRightInd w:val="0"/>
        <w:spacing w:after="0" w:line="240" w:lineRule="auto"/>
        <w:jc w:val="both"/>
        <w:rPr>
          <w:rFonts w:ascii="Cambria" w:hAnsi="Cambria" w:cs="Times New Roman"/>
          <w:b/>
          <w:bCs/>
          <w:sz w:val="10"/>
          <w:szCs w:val="10"/>
        </w:rPr>
      </w:pPr>
    </w:p>
    <w:p w14:paraId="593E3C32" w14:textId="77777777" w:rsidR="0047017F" w:rsidRPr="00EC17AA" w:rsidRDefault="0047017F" w:rsidP="00B1331D">
      <w:pPr>
        <w:autoSpaceDE w:val="0"/>
        <w:autoSpaceDN w:val="0"/>
        <w:bidi w:val="0"/>
        <w:adjustRightInd w:val="0"/>
        <w:spacing w:after="0" w:line="240" w:lineRule="auto"/>
        <w:jc w:val="both"/>
        <w:rPr>
          <w:rFonts w:ascii="Cambria" w:hAnsi="Cambria" w:cs="Times New Roman"/>
          <w:b/>
          <w:bCs/>
          <w:sz w:val="20"/>
          <w:szCs w:val="20"/>
        </w:rPr>
      </w:pPr>
      <w:r w:rsidRPr="00EC17AA">
        <w:rPr>
          <w:rFonts w:ascii="Cambria" w:hAnsi="Cambria" w:cs="Times New Roman"/>
          <w:b/>
          <w:bCs/>
          <w:sz w:val="20"/>
          <w:szCs w:val="20"/>
        </w:rPr>
        <w:t xml:space="preserve">Keywords: </w:t>
      </w:r>
    </w:p>
    <w:p w14:paraId="439825F4" w14:textId="672E50A3" w:rsidR="0047017F" w:rsidRPr="000938EB" w:rsidRDefault="00A1112A" w:rsidP="000938EB">
      <w:pPr>
        <w:autoSpaceDE w:val="0"/>
        <w:autoSpaceDN w:val="0"/>
        <w:bidi w:val="0"/>
        <w:adjustRightInd w:val="0"/>
        <w:spacing w:after="0" w:line="240" w:lineRule="auto"/>
        <w:jc w:val="both"/>
        <w:rPr>
          <w:rFonts w:asciiTheme="majorHAnsi" w:hAnsiTheme="majorHAnsi" w:cs="Times New Roman"/>
          <w:sz w:val="20"/>
          <w:szCs w:val="20"/>
        </w:rPr>
      </w:pPr>
      <w:r w:rsidRPr="00A1112A">
        <w:rPr>
          <w:rFonts w:asciiTheme="majorHAnsi" w:hAnsiTheme="majorHAnsi" w:cs="Times New Roman"/>
          <w:sz w:val="20"/>
          <w:szCs w:val="20"/>
        </w:rPr>
        <w:t>Deep Soil Mixing, Gravel Drain</w:t>
      </w:r>
      <w:r w:rsidRPr="000938EB">
        <w:rPr>
          <w:rFonts w:asciiTheme="majorHAnsi" w:hAnsiTheme="majorHAnsi" w:cs="Times New Roman"/>
          <w:sz w:val="20"/>
          <w:szCs w:val="20"/>
        </w:rPr>
        <w:t xml:space="preserve"> </w:t>
      </w:r>
      <w:r w:rsidR="0047017F" w:rsidRPr="000938EB">
        <w:rPr>
          <w:rFonts w:asciiTheme="majorHAnsi" w:hAnsiTheme="majorHAnsi" w:cs="Times New Roman"/>
          <w:sz w:val="20"/>
          <w:szCs w:val="20"/>
        </w:rPr>
        <w:t xml:space="preserve">Fatigue, </w:t>
      </w:r>
      <w:r w:rsidRPr="00A1112A">
        <w:rPr>
          <w:rFonts w:asciiTheme="majorHAnsi" w:hAnsiTheme="majorHAnsi" w:cs="Times New Roman"/>
          <w:sz w:val="20"/>
          <w:szCs w:val="20"/>
        </w:rPr>
        <w:t xml:space="preserve">The thickness of </w:t>
      </w:r>
      <w:r>
        <w:rPr>
          <w:rFonts w:asciiTheme="majorHAnsi" w:hAnsiTheme="majorHAnsi" w:cs="Times New Roman"/>
          <w:sz w:val="20"/>
          <w:szCs w:val="20"/>
        </w:rPr>
        <w:t>liquefiable</w:t>
      </w:r>
      <w:r w:rsidRPr="00A1112A">
        <w:rPr>
          <w:rFonts w:asciiTheme="majorHAnsi" w:hAnsiTheme="majorHAnsi" w:cs="Times New Roman"/>
          <w:sz w:val="20"/>
          <w:szCs w:val="20"/>
        </w:rPr>
        <w:t xml:space="preserve"> layer,</w:t>
      </w:r>
      <w:r>
        <w:rPr>
          <w:rFonts w:asciiTheme="majorHAnsi" w:hAnsiTheme="majorHAnsi" w:cs="Times New Roman"/>
          <w:sz w:val="20"/>
          <w:szCs w:val="20"/>
        </w:rPr>
        <w:t xml:space="preserve"> Frequency, </w:t>
      </w:r>
      <w:r w:rsidR="0015499E" w:rsidRPr="0015499E">
        <w:rPr>
          <w:rFonts w:asciiTheme="majorHAnsi" w:hAnsiTheme="majorHAnsi" w:cs="Times New Roman"/>
          <w:sz w:val="20"/>
          <w:szCs w:val="20"/>
        </w:rPr>
        <w:t>Average shear modulus</w:t>
      </w:r>
      <w:r w:rsidR="00B412C8">
        <w:rPr>
          <w:rFonts w:asciiTheme="majorHAnsi" w:hAnsiTheme="majorHAnsi" w:cs="Times New Roman"/>
          <w:sz w:val="20"/>
          <w:szCs w:val="20"/>
        </w:rPr>
        <w:t>.</w:t>
      </w:r>
    </w:p>
    <w:p w14:paraId="3EF4C8AC" w14:textId="77777777" w:rsidR="0047017F" w:rsidRPr="00B1331D" w:rsidRDefault="0047017F" w:rsidP="00B1331D">
      <w:pPr>
        <w:pBdr>
          <w:bottom w:val="single" w:sz="4" w:space="1" w:color="auto"/>
        </w:pBdr>
        <w:autoSpaceDE w:val="0"/>
        <w:autoSpaceDN w:val="0"/>
        <w:bidi w:val="0"/>
        <w:adjustRightInd w:val="0"/>
        <w:spacing w:after="0" w:line="240" w:lineRule="auto"/>
        <w:jc w:val="both"/>
        <w:rPr>
          <w:rFonts w:ascii="Times New Roman" w:hAnsi="Times New Roman" w:cs="Times New Roman"/>
          <w:sz w:val="10"/>
          <w:szCs w:val="10"/>
        </w:rPr>
      </w:pPr>
      <w:r w:rsidRPr="00B1331D">
        <w:rPr>
          <w:rFonts w:ascii="Times New Roman" w:hAnsi="Times New Roman" w:cs="Times New Roman"/>
          <w:sz w:val="10"/>
          <w:szCs w:val="10"/>
        </w:rPr>
        <w:t xml:space="preserve"> </w:t>
      </w:r>
    </w:p>
    <w:p w14:paraId="4FC34FD1" w14:textId="77777777" w:rsidR="0047017F" w:rsidRPr="00D44B15" w:rsidRDefault="0047017F" w:rsidP="003965D5">
      <w:pPr>
        <w:autoSpaceDE w:val="0"/>
        <w:autoSpaceDN w:val="0"/>
        <w:bidi w:val="0"/>
        <w:adjustRightInd w:val="0"/>
        <w:spacing w:after="0" w:line="240" w:lineRule="auto"/>
        <w:jc w:val="both"/>
        <w:rPr>
          <w:rFonts w:ascii="Times New Roman" w:hAnsi="Times New Roman" w:cs="Times New Roman"/>
        </w:rPr>
      </w:pPr>
    </w:p>
    <w:p w14:paraId="12D9DCE5" w14:textId="77777777" w:rsidR="0047017F" w:rsidRPr="005B23C1" w:rsidRDefault="0047017F" w:rsidP="00A94441">
      <w:pPr>
        <w:autoSpaceDE w:val="0"/>
        <w:autoSpaceDN w:val="0"/>
        <w:bidi w:val="0"/>
        <w:adjustRightInd w:val="0"/>
        <w:spacing w:after="120" w:line="240" w:lineRule="auto"/>
        <w:jc w:val="both"/>
        <w:rPr>
          <w:rFonts w:ascii="Cambria" w:hAnsi="Cambria" w:cs="Times New Roman"/>
          <w:b/>
          <w:bCs/>
        </w:rPr>
      </w:pPr>
      <w:r w:rsidRPr="005B23C1">
        <w:rPr>
          <w:rFonts w:ascii="Cambria" w:hAnsi="Cambria" w:cs="Times New Roman"/>
          <w:b/>
          <w:bCs/>
        </w:rPr>
        <w:t>1. Introduction</w:t>
      </w:r>
    </w:p>
    <w:p w14:paraId="4AFBFA1C" w14:textId="36DC3902" w:rsidR="0047017F" w:rsidRPr="00E50899" w:rsidRDefault="0047017F" w:rsidP="003B46FC">
      <w:pPr>
        <w:autoSpaceDE w:val="0"/>
        <w:autoSpaceDN w:val="0"/>
        <w:bidi w:val="0"/>
        <w:adjustRightInd w:val="0"/>
        <w:spacing w:after="0" w:line="240" w:lineRule="auto"/>
        <w:ind w:firstLine="284"/>
        <w:jc w:val="both"/>
        <w:rPr>
          <w:rFonts w:asciiTheme="majorHAnsi" w:hAnsiTheme="majorHAnsi" w:cs="Times New Roman"/>
          <w:sz w:val="20"/>
          <w:szCs w:val="20"/>
        </w:rPr>
      </w:pPr>
      <w:r w:rsidRPr="00E50899">
        <w:rPr>
          <w:rFonts w:asciiTheme="majorHAnsi" w:hAnsiTheme="majorHAnsi" w:cs="Times New Roman"/>
          <w:sz w:val="20"/>
          <w:szCs w:val="20"/>
        </w:rPr>
        <w:t xml:space="preserve">In the present paper, </w:t>
      </w:r>
      <w:r w:rsidR="0015499E" w:rsidRPr="0015499E">
        <w:rPr>
          <w:rFonts w:asciiTheme="majorHAnsi" w:hAnsiTheme="majorHAnsi" w:cs="Times New Roman"/>
          <w:sz w:val="20"/>
          <w:szCs w:val="20"/>
        </w:rPr>
        <w:t xml:space="preserve">the results of a series of seismic experiments in a 1g environment on a structure located over liquefiable ground with different thicknesses reinforced with GD and DSM techniques were presented. The dynamic response of the reinforced ground system was investigated based on the parameters of </w:t>
      </w:r>
      <w:r w:rsidR="0015499E">
        <w:rPr>
          <w:rFonts w:asciiTheme="majorHAnsi" w:hAnsiTheme="majorHAnsi" w:cs="Times New Roman"/>
          <w:sz w:val="20"/>
          <w:szCs w:val="20"/>
        </w:rPr>
        <w:t>settlement</w:t>
      </w:r>
      <w:r w:rsidR="0015499E" w:rsidRPr="0015499E">
        <w:rPr>
          <w:rFonts w:asciiTheme="majorHAnsi" w:hAnsiTheme="majorHAnsi" w:cs="Times New Roman"/>
          <w:sz w:val="20"/>
          <w:szCs w:val="20"/>
        </w:rPr>
        <w:t>, excess pore water pressure ratio,</w:t>
      </w:r>
      <w:r w:rsidR="0015499E">
        <w:rPr>
          <w:rFonts w:asciiTheme="majorHAnsi" w:hAnsiTheme="majorHAnsi" w:cs="Times New Roman"/>
          <w:sz w:val="20"/>
          <w:szCs w:val="20"/>
        </w:rPr>
        <w:t xml:space="preserve"> </w:t>
      </w:r>
      <w:r w:rsidR="0015499E" w:rsidRPr="0015499E">
        <w:rPr>
          <w:rFonts w:asciiTheme="majorHAnsi" w:hAnsiTheme="majorHAnsi" w:cs="Times New Roman"/>
          <w:sz w:val="20"/>
          <w:szCs w:val="20"/>
        </w:rPr>
        <w:t>maximum acceleration</w:t>
      </w:r>
      <w:r w:rsidR="0015499E">
        <w:rPr>
          <w:rFonts w:asciiTheme="majorHAnsi" w:hAnsiTheme="majorHAnsi" w:cs="Times New Roman"/>
          <w:sz w:val="20"/>
          <w:szCs w:val="20"/>
        </w:rPr>
        <w:t xml:space="preserve">, </w:t>
      </w:r>
      <w:r w:rsidR="00657044">
        <w:rPr>
          <w:rFonts w:asciiTheme="majorHAnsi" w:hAnsiTheme="majorHAnsi" w:cs="Times New Roman"/>
          <w:sz w:val="20"/>
          <w:szCs w:val="20"/>
        </w:rPr>
        <w:t>behavior of stress-strain of reinforced soil</w:t>
      </w:r>
      <w:r w:rsidR="0015499E" w:rsidRPr="0015499E">
        <w:rPr>
          <w:rFonts w:asciiTheme="majorHAnsi" w:hAnsiTheme="majorHAnsi" w:cs="Times New Roman"/>
          <w:sz w:val="20"/>
          <w:szCs w:val="20"/>
        </w:rPr>
        <w:t xml:space="preserve">. The time history of the input acceleration was applied harmonically with an acceleration range of 0.2g and at frequencies of 1, 2, and 3 Hz. </w:t>
      </w:r>
      <w:r w:rsidRPr="00E50899">
        <w:rPr>
          <w:rFonts w:asciiTheme="majorHAnsi" w:hAnsiTheme="majorHAnsi" w:cs="Times New Roman"/>
          <w:sz w:val="20"/>
          <w:szCs w:val="20"/>
        </w:rPr>
        <w:t xml:space="preserve">results of experimental investigations </w:t>
      </w:r>
      <w:r w:rsidR="00956873" w:rsidRPr="00956873">
        <w:rPr>
          <w:rFonts w:asciiTheme="majorHAnsi" w:hAnsiTheme="majorHAnsi" w:cs="Times New Roman"/>
          <w:sz w:val="20"/>
          <w:szCs w:val="20"/>
        </w:rPr>
        <w:t>show that the thickness of the liquefiable layer and the frequency of the input motion have a significant impact on the effectiveness of the improvement method and all responses</w:t>
      </w:r>
      <w:r w:rsidR="003B46FC">
        <w:rPr>
          <w:rFonts w:asciiTheme="majorHAnsi" w:hAnsiTheme="majorHAnsi" w:cs="Times New Roman"/>
          <w:sz w:val="20"/>
          <w:szCs w:val="20"/>
        </w:rPr>
        <w:t>.</w:t>
      </w:r>
      <w:r w:rsidRPr="00E50899">
        <w:rPr>
          <w:rFonts w:asciiTheme="majorHAnsi" w:hAnsiTheme="majorHAnsi" w:cs="Times New Roman"/>
          <w:sz w:val="20"/>
          <w:szCs w:val="20"/>
        </w:rPr>
        <w:t xml:space="preserve"> </w:t>
      </w:r>
    </w:p>
    <w:p w14:paraId="3FB6D180" w14:textId="77777777" w:rsidR="0047017F" w:rsidRDefault="0047017F" w:rsidP="008C7599">
      <w:pPr>
        <w:autoSpaceDE w:val="0"/>
        <w:autoSpaceDN w:val="0"/>
        <w:bidi w:val="0"/>
        <w:adjustRightInd w:val="0"/>
        <w:spacing w:after="0" w:line="240" w:lineRule="auto"/>
        <w:jc w:val="both"/>
        <w:rPr>
          <w:rFonts w:ascii="Times New Roman" w:hAnsi="Times New Roman" w:cs="Times New Roman"/>
          <w:sz w:val="20"/>
          <w:szCs w:val="20"/>
        </w:rPr>
      </w:pPr>
    </w:p>
    <w:p w14:paraId="638FE05B" w14:textId="77777777" w:rsidR="0047017F" w:rsidRDefault="0047017F" w:rsidP="008C7599">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2</w:t>
      </w:r>
      <w:r w:rsidRPr="005B23C1">
        <w:rPr>
          <w:rFonts w:ascii="Cambria" w:hAnsi="Cambria" w:cs="Times New Roman"/>
          <w:b/>
          <w:bCs/>
        </w:rPr>
        <w:t xml:space="preserve">. </w:t>
      </w:r>
      <w:r>
        <w:rPr>
          <w:rFonts w:ascii="Cambria" w:hAnsi="Cambria" w:cs="Times New Roman"/>
          <w:b/>
          <w:bCs/>
        </w:rPr>
        <w:t>Methodology</w:t>
      </w:r>
    </w:p>
    <w:p w14:paraId="219F007E" w14:textId="77777777" w:rsidR="0047017F" w:rsidRDefault="0047017F" w:rsidP="000E1957">
      <w:pPr>
        <w:autoSpaceDE w:val="0"/>
        <w:autoSpaceDN w:val="0"/>
        <w:bidi w:val="0"/>
        <w:adjustRightInd w:val="0"/>
        <w:spacing w:after="120" w:line="240" w:lineRule="auto"/>
        <w:jc w:val="both"/>
        <w:rPr>
          <w:rFonts w:ascii="Cambria" w:hAnsi="Cambria" w:cs="Times New Roman"/>
          <w:i/>
          <w:iCs/>
        </w:rPr>
      </w:pPr>
      <w:r>
        <w:rPr>
          <w:rFonts w:ascii="Cambria" w:hAnsi="Cambria" w:cs="Times New Roman"/>
          <w:i/>
          <w:iCs/>
        </w:rPr>
        <w:t>2</w:t>
      </w:r>
      <w:r w:rsidRPr="00DE2A65">
        <w:rPr>
          <w:rFonts w:ascii="Cambria" w:hAnsi="Cambria" w:cs="Times New Roman"/>
          <w:i/>
          <w:iCs/>
        </w:rPr>
        <w:t xml:space="preserve">.1. Experimental </w:t>
      </w:r>
      <w:r>
        <w:rPr>
          <w:rFonts w:ascii="Cambria" w:hAnsi="Cambria" w:cs="Times New Roman"/>
          <w:i/>
          <w:iCs/>
        </w:rPr>
        <w:t>study</w:t>
      </w:r>
    </w:p>
    <w:p w14:paraId="6BE297CB" w14:textId="643E8789" w:rsidR="0047017F" w:rsidRDefault="00AB7BED" w:rsidP="00C06005">
      <w:pPr>
        <w:autoSpaceDE w:val="0"/>
        <w:autoSpaceDN w:val="0"/>
        <w:bidi w:val="0"/>
        <w:adjustRightInd w:val="0"/>
        <w:spacing w:after="0" w:line="240" w:lineRule="auto"/>
        <w:ind w:firstLine="284"/>
        <w:jc w:val="both"/>
        <w:rPr>
          <w:rFonts w:asciiTheme="majorHAnsi" w:hAnsiTheme="majorHAnsi" w:cs="Times New Roman"/>
          <w:sz w:val="20"/>
          <w:szCs w:val="20"/>
        </w:rPr>
      </w:pPr>
      <w:r w:rsidRPr="00AB7BED">
        <w:rPr>
          <w:rFonts w:asciiTheme="majorHAnsi" w:hAnsiTheme="majorHAnsi" w:cs="Times New Roman"/>
          <w:sz w:val="20"/>
          <w:szCs w:val="20"/>
        </w:rPr>
        <w:t>In this study, 10 experiments (one non-improved land model and nine improved land models) were performed</w:t>
      </w:r>
      <w:r>
        <w:rPr>
          <w:rFonts w:asciiTheme="majorHAnsi" w:hAnsiTheme="majorHAnsi" w:cs="Times New Roman"/>
          <w:sz w:val="20"/>
          <w:szCs w:val="20"/>
        </w:rPr>
        <w:t xml:space="preserve"> by utilizing of shaking table and laminar shear box</w:t>
      </w:r>
      <w:r w:rsidRPr="00AB7BED">
        <w:rPr>
          <w:rFonts w:asciiTheme="majorHAnsi" w:hAnsiTheme="majorHAnsi" w:cs="Times New Roman"/>
          <w:sz w:val="20"/>
          <w:szCs w:val="20"/>
        </w:rPr>
        <w:t xml:space="preserve">. The details of the experiment are shown in Table </w:t>
      </w:r>
      <w:r w:rsidR="00747DE8">
        <w:rPr>
          <w:rFonts w:asciiTheme="majorHAnsi" w:hAnsiTheme="majorHAnsi" w:cs="Times New Roman"/>
          <w:sz w:val="20"/>
          <w:szCs w:val="20"/>
        </w:rPr>
        <w:t>1</w:t>
      </w:r>
      <w:r w:rsidRPr="00AB7BED">
        <w:rPr>
          <w:rFonts w:asciiTheme="majorHAnsi" w:hAnsiTheme="majorHAnsi" w:cs="Times New Roman"/>
          <w:sz w:val="20"/>
          <w:szCs w:val="20"/>
        </w:rPr>
        <w:t xml:space="preserve">. In these experiments, the effect of liquefiable soil layer thickness on the performance of two improvement methods (GD and DSM columns) was investigated. </w:t>
      </w:r>
    </w:p>
    <w:p w14:paraId="3B27E929" w14:textId="77777777" w:rsidR="00AB7BED" w:rsidRDefault="00AB7BED" w:rsidP="00AB7BED">
      <w:pPr>
        <w:autoSpaceDE w:val="0"/>
        <w:autoSpaceDN w:val="0"/>
        <w:bidi w:val="0"/>
        <w:adjustRightInd w:val="0"/>
        <w:spacing w:after="0" w:line="240" w:lineRule="auto"/>
        <w:ind w:firstLine="284"/>
        <w:jc w:val="both"/>
        <w:rPr>
          <w:rFonts w:asciiTheme="majorHAnsi" w:hAnsiTheme="majorHAnsi" w:cs="Times New Roman"/>
          <w:sz w:val="20"/>
          <w:szCs w:val="20"/>
        </w:rPr>
      </w:pPr>
    </w:p>
    <w:p w14:paraId="7A1A91FB" w14:textId="68E48A1D" w:rsidR="00AB7BED" w:rsidRPr="003E3524" w:rsidRDefault="003E3524" w:rsidP="00AB7BED">
      <w:pPr>
        <w:autoSpaceDE w:val="0"/>
        <w:autoSpaceDN w:val="0"/>
        <w:bidi w:val="0"/>
        <w:adjustRightInd w:val="0"/>
        <w:spacing w:after="0" w:line="240" w:lineRule="auto"/>
        <w:ind w:firstLine="284"/>
        <w:jc w:val="center"/>
        <w:rPr>
          <w:rFonts w:asciiTheme="majorHAnsi" w:hAnsiTheme="majorHAnsi" w:cs="Times New Roman"/>
          <w:sz w:val="18"/>
          <w:szCs w:val="18"/>
        </w:rPr>
      </w:pPr>
      <w:r w:rsidRPr="003E3524">
        <w:rPr>
          <w:rFonts w:asciiTheme="majorHAnsi" w:hAnsiTheme="majorHAnsi" w:cs="Times New Roman"/>
          <w:b/>
          <w:bCs/>
          <w:sz w:val="18"/>
          <w:szCs w:val="18"/>
        </w:rPr>
        <w:t>Table 1.</w:t>
      </w:r>
      <w:r w:rsidRPr="003E3524">
        <w:rPr>
          <w:rFonts w:asciiTheme="majorHAnsi" w:hAnsiTheme="majorHAnsi" w:cs="Times New Roman"/>
          <w:sz w:val="18"/>
          <w:szCs w:val="18"/>
        </w:rPr>
        <w:t xml:space="preserve"> </w:t>
      </w:r>
      <w:r w:rsidR="00AB7BED" w:rsidRPr="003E3524">
        <w:rPr>
          <w:rFonts w:asciiTheme="majorHAnsi" w:hAnsiTheme="majorHAnsi" w:cs="Times New Roman"/>
          <w:sz w:val="18"/>
          <w:szCs w:val="18"/>
        </w:rPr>
        <w:t>Details of performed tests</w:t>
      </w:r>
    </w:p>
    <w:tbl>
      <w:tblPr>
        <w:tblStyle w:val="TableGrid"/>
        <w:bidiVisual/>
        <w:tblW w:w="0" w:type="auto"/>
        <w:jc w:val="center"/>
        <w:tblLook w:val="04A0" w:firstRow="1" w:lastRow="0" w:firstColumn="1" w:lastColumn="0" w:noHBand="0" w:noVBand="1"/>
      </w:tblPr>
      <w:tblGrid>
        <w:gridCol w:w="553"/>
        <w:gridCol w:w="687"/>
        <w:gridCol w:w="1451"/>
        <w:gridCol w:w="1017"/>
        <w:gridCol w:w="1180"/>
        <w:gridCol w:w="1154"/>
        <w:gridCol w:w="1154"/>
        <w:gridCol w:w="983"/>
      </w:tblGrid>
      <w:tr w:rsidR="00AB7BED" w:rsidRPr="003E3524" w14:paraId="39E64306" w14:textId="77777777" w:rsidTr="009A4D90">
        <w:trPr>
          <w:trHeight w:val="245"/>
          <w:jc w:val="center"/>
        </w:trPr>
        <w:tc>
          <w:tcPr>
            <w:tcW w:w="1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5F381A"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Thickness of layers</w:t>
            </w:r>
          </w:p>
        </w:tc>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F82945"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Loading frequency (HZ)</w:t>
            </w:r>
          </w:p>
        </w:tc>
        <w:tc>
          <w:tcPr>
            <w:tcW w:w="1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3FE26"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DSM &amp;  GD</w:t>
            </w: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9FFF4"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Test series</w:t>
            </w: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CE8C4"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Test NO.:</w:t>
            </w:r>
          </w:p>
        </w:tc>
        <w:tc>
          <w:tcPr>
            <w:tcW w:w="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AA78BA"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Number of tests</w:t>
            </w:r>
          </w:p>
        </w:tc>
      </w:tr>
      <w:tr w:rsidR="00AB7BED" w:rsidRPr="003E3524" w14:paraId="56A575A3" w14:textId="77777777" w:rsidTr="003E3524">
        <w:trPr>
          <w:trHeight w:val="233"/>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A613A5"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h2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4C924E"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h1</w:t>
            </w:r>
          </w:p>
        </w:tc>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5B3B8"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0A4140" w14:textId="0CD67AE9" w:rsidR="00AB7BED" w:rsidRPr="003E3524" w:rsidRDefault="00AB7BED" w:rsidP="003E3524">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Length(cm)</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8FAAC" w14:textId="01A0B1ED" w:rsidR="00AB7BED" w:rsidRPr="003E3524" w:rsidRDefault="00AB7BED" w:rsidP="003E3524">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Diameter(cm)</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5867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4E909"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CDBB6"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r>
      <w:tr w:rsidR="00AB7BED" w:rsidRPr="003E3524" w14:paraId="013A81B7"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EC19D"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674E1"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6EDB91"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EA1F05"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No</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4D862"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No</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E1213"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84116"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A</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5CF33"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1</w:t>
            </w:r>
          </w:p>
        </w:tc>
      </w:tr>
      <w:tr w:rsidR="00AB7BED" w:rsidRPr="003E3524" w14:paraId="3143E90D"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F0712"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F2338"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6ECF1"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CABF8"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1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E41CE"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5</w:t>
            </w: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F474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D5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AEB85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D5F1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31FB2"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2</w:t>
            </w:r>
          </w:p>
        </w:tc>
      </w:tr>
      <w:tr w:rsidR="00AB7BED" w:rsidRPr="003E3524" w14:paraId="76A174AE"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05518"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D2421"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FD87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E0E65D"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2450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4F86DE"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5E49E"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D5F2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03F83"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3</w:t>
            </w:r>
          </w:p>
        </w:tc>
      </w:tr>
      <w:tr w:rsidR="00AB7BED" w:rsidRPr="003E3524" w14:paraId="2F44A682"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062D39"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1C0D8"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FEFD8"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B0EEF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65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D1841"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8663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6BF80"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D5F3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D51B7"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4</w:t>
            </w:r>
          </w:p>
        </w:tc>
      </w:tr>
      <w:tr w:rsidR="00AB7BED" w:rsidRPr="003E3524" w14:paraId="03835E9A"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49893"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30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E26F4"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40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939AD"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66964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40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052B3"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1713F"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D30</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25E06"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D30F1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DC174"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5</w:t>
            </w:r>
          </w:p>
        </w:tc>
      </w:tr>
      <w:tr w:rsidR="00AB7BED" w:rsidRPr="003E3524" w14:paraId="471670FC"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D0FD27"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30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CBEC0"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40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E8FB6"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5C094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40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DD435B"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DF46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46782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D30F2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D1EE0"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6</w:t>
            </w:r>
          </w:p>
        </w:tc>
      </w:tr>
      <w:tr w:rsidR="00AB7BED" w:rsidRPr="003E3524" w14:paraId="2DE44E1B" w14:textId="77777777" w:rsidTr="003E3524">
        <w:trPr>
          <w:trHeight w:val="15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945D1"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30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84DB2"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40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99FA6"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FE720F"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40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6A5941"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EE81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4B3750"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D30F3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5DA4B"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7</w:t>
            </w:r>
          </w:p>
        </w:tc>
      </w:tr>
      <w:tr w:rsidR="00AB7BED" w:rsidRPr="003E3524" w14:paraId="623FE879"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953A00"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EE3D3"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20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D6D69E"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43161"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7491B"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C55D1"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D50</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5517EE"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D50F1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3D99B"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8</w:t>
            </w:r>
          </w:p>
        </w:tc>
      </w:tr>
      <w:tr w:rsidR="00AB7BED" w:rsidRPr="003E3524" w14:paraId="768FCEDB" w14:textId="77777777" w:rsidTr="003E3524">
        <w:trPr>
          <w:trHeight w:val="152"/>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649A4"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03F0B1"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20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35A785"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85E7A"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FD3AE5"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C95575"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0436B"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D50F2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73882"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9</w:t>
            </w:r>
          </w:p>
        </w:tc>
      </w:tr>
      <w:tr w:rsidR="00AB7BED" w:rsidRPr="003E3524" w14:paraId="0309CF29" w14:textId="77777777" w:rsidTr="003E3524">
        <w:trPr>
          <w:jc w:val="center"/>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F9CAD"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Pr>
            </w:pPr>
            <w:r w:rsidRPr="003E3524">
              <w:rPr>
                <w:rFonts w:asciiTheme="majorHAnsi" w:hAnsiTheme="majorHAnsi" w:cs="Times New Roman"/>
                <w:sz w:val="16"/>
                <w:szCs w:val="16"/>
              </w:rPr>
              <w:t>50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2A48BA" w14:textId="77777777" w:rsidR="00AB7BED" w:rsidRPr="003E3524" w:rsidRDefault="00AB7BED" w:rsidP="00747DE8">
            <w:pPr>
              <w:autoSpaceDE w:val="0"/>
              <w:autoSpaceDN w:val="0"/>
              <w:bidi w:val="0"/>
              <w:adjustRightInd w:val="0"/>
              <w:spacing w:after="0" w:line="240" w:lineRule="auto"/>
              <w:jc w:val="center"/>
              <w:rPr>
                <w:rFonts w:asciiTheme="majorHAnsi" w:hAnsiTheme="majorHAnsi" w:cs="Times New Roman"/>
                <w:sz w:val="16"/>
                <w:szCs w:val="16"/>
                <w:rtl/>
              </w:rPr>
            </w:pPr>
            <w:r w:rsidRPr="003E3524">
              <w:rPr>
                <w:rFonts w:asciiTheme="majorHAnsi" w:hAnsiTheme="majorHAnsi" w:cs="Times New Roman"/>
                <w:sz w:val="16"/>
                <w:szCs w:val="16"/>
              </w:rPr>
              <w:t>20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34E409"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CE64B"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20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B877E"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49B8C0"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17EA2"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tl/>
              </w:rPr>
            </w:pPr>
            <w:r w:rsidRPr="003E3524">
              <w:rPr>
                <w:rFonts w:asciiTheme="majorHAnsi" w:hAnsiTheme="majorHAnsi" w:cs="Times New Roman"/>
                <w:sz w:val="16"/>
                <w:szCs w:val="16"/>
              </w:rPr>
              <w:t>D50F3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3E15F"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10</w:t>
            </w:r>
          </w:p>
        </w:tc>
      </w:tr>
      <w:tr w:rsidR="00AB7BED" w:rsidRPr="003E3524" w14:paraId="4C53C6AA" w14:textId="77777777" w:rsidTr="00047CF5">
        <w:trPr>
          <w:trHeight w:val="326"/>
          <w:jc w:val="center"/>
        </w:trPr>
        <w:tc>
          <w:tcPr>
            <w:tcW w:w="780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5CFC9C" w14:textId="77777777" w:rsidR="00AB7BED" w:rsidRPr="003E3524" w:rsidRDefault="00AB7BED" w:rsidP="00747DE8">
            <w:pPr>
              <w:autoSpaceDE w:val="0"/>
              <w:autoSpaceDN w:val="0"/>
              <w:bidi w:val="0"/>
              <w:adjustRightInd w:val="0"/>
              <w:spacing w:after="0" w:line="240" w:lineRule="auto"/>
              <w:ind w:firstLine="284"/>
              <w:jc w:val="center"/>
              <w:rPr>
                <w:rFonts w:asciiTheme="majorHAnsi" w:hAnsiTheme="majorHAnsi" w:cs="Times New Roman"/>
                <w:sz w:val="16"/>
                <w:szCs w:val="16"/>
              </w:rPr>
            </w:pPr>
            <w:r w:rsidRPr="003E3524">
              <w:rPr>
                <w:rFonts w:asciiTheme="majorHAnsi" w:hAnsiTheme="majorHAnsi" w:cs="Times New Roman"/>
                <w:sz w:val="16"/>
                <w:szCs w:val="16"/>
              </w:rPr>
              <w:t>The relative density of the loose layer is equal to 25% and the relative density of the dense layer is equal to 80%</w:t>
            </w:r>
            <w:r w:rsidRPr="003E3524">
              <w:rPr>
                <w:rFonts w:asciiTheme="majorHAnsi" w:hAnsiTheme="majorHAnsi" w:cs="Times New Roman"/>
                <w:sz w:val="16"/>
                <w:szCs w:val="16"/>
                <w:rtl/>
              </w:rPr>
              <w:t>.</w:t>
            </w:r>
          </w:p>
        </w:tc>
      </w:tr>
    </w:tbl>
    <w:p w14:paraId="13060C69" w14:textId="12D7F6A1" w:rsidR="0047017F" w:rsidRPr="00DE2A65" w:rsidRDefault="0047017F" w:rsidP="000E1957">
      <w:pPr>
        <w:autoSpaceDE w:val="0"/>
        <w:autoSpaceDN w:val="0"/>
        <w:bidi w:val="0"/>
        <w:adjustRightInd w:val="0"/>
        <w:spacing w:after="120" w:line="240" w:lineRule="auto"/>
        <w:jc w:val="both"/>
        <w:rPr>
          <w:rFonts w:ascii="Cambria" w:hAnsi="Cambria" w:cs="Times New Roman"/>
          <w:i/>
          <w:iCs/>
        </w:rPr>
      </w:pPr>
      <w:r>
        <w:rPr>
          <w:rFonts w:ascii="Cambria" w:hAnsi="Cambria" w:cs="Times New Roman"/>
          <w:i/>
          <w:iCs/>
        </w:rPr>
        <w:lastRenderedPageBreak/>
        <w:t>2</w:t>
      </w:r>
      <w:r w:rsidRPr="00DE2A65">
        <w:rPr>
          <w:rFonts w:ascii="Cambria" w:hAnsi="Cambria" w:cs="Times New Roman"/>
          <w:i/>
          <w:iCs/>
        </w:rPr>
        <w:t xml:space="preserve">.2. </w:t>
      </w:r>
      <w:r>
        <w:rPr>
          <w:rFonts w:ascii="Cambria" w:hAnsi="Cambria" w:cs="Times New Roman"/>
          <w:i/>
          <w:iCs/>
        </w:rPr>
        <w:t>m</w:t>
      </w:r>
      <w:r w:rsidRPr="00DE2A65">
        <w:rPr>
          <w:rFonts w:ascii="Cambria" w:hAnsi="Cambria" w:cs="Times New Roman"/>
          <w:i/>
          <w:iCs/>
        </w:rPr>
        <w:t>odeling</w:t>
      </w:r>
    </w:p>
    <w:p w14:paraId="590C9941" w14:textId="4D54856F" w:rsidR="00747DE8" w:rsidRDefault="00747DE8" w:rsidP="00747DE8">
      <w:pPr>
        <w:autoSpaceDE w:val="0"/>
        <w:autoSpaceDN w:val="0"/>
        <w:bidi w:val="0"/>
        <w:adjustRightInd w:val="0"/>
        <w:spacing w:after="0" w:line="240" w:lineRule="auto"/>
        <w:ind w:firstLine="284"/>
        <w:jc w:val="both"/>
        <w:rPr>
          <w:rFonts w:asciiTheme="majorHAnsi" w:hAnsiTheme="majorHAnsi" w:cs="Times New Roman"/>
          <w:sz w:val="20"/>
          <w:szCs w:val="20"/>
        </w:rPr>
      </w:pPr>
      <w:r w:rsidRPr="00747DE8">
        <w:rPr>
          <w:rFonts w:asciiTheme="majorHAnsi" w:hAnsiTheme="majorHAnsi" w:cs="Times New Roman"/>
          <w:sz w:val="20"/>
          <w:szCs w:val="20"/>
        </w:rPr>
        <w:t>Figure 1 shows the box in plan. Both improvement techniques were placed in one model to</w:t>
      </w:r>
      <w:r w:rsidR="00047CF5">
        <w:rPr>
          <w:rFonts w:asciiTheme="majorHAnsi" w:hAnsiTheme="majorHAnsi" w:cs="Times New Roman"/>
          <w:sz w:val="20"/>
          <w:szCs w:val="20"/>
        </w:rPr>
        <w:t xml:space="preserve"> </w:t>
      </w:r>
      <w:r w:rsidRPr="00747DE8">
        <w:rPr>
          <w:rFonts w:asciiTheme="majorHAnsi" w:hAnsiTheme="majorHAnsi" w:cs="Times New Roman"/>
          <w:sz w:val="20"/>
          <w:szCs w:val="20"/>
        </w:rPr>
        <w:t>simultaneously evaluate the effectiveness of the improvement methods in the same conditions. It is noteworthy that the two foundations were placed at a suitable distance from one another to eliminate the effects of interaction. According to</w:t>
      </w:r>
      <w:r w:rsidR="003E3524">
        <w:rPr>
          <w:rFonts w:asciiTheme="majorHAnsi" w:hAnsiTheme="majorHAnsi" w:cs="Times New Roman"/>
          <w:sz w:val="20"/>
          <w:szCs w:val="20"/>
        </w:rPr>
        <w:t xml:space="preserve"> </w:t>
      </w:r>
      <w:r w:rsidR="003E3524">
        <w:rPr>
          <w:rFonts w:asciiTheme="majorHAnsi" w:hAnsiTheme="majorHAnsi" w:cs="Times New Roman"/>
          <w:sz w:val="20"/>
          <w:szCs w:val="20"/>
        </w:rPr>
        <w:fldChar w:fldCharType="begin"/>
      </w:r>
      <w:r w:rsidR="003E3524">
        <w:rPr>
          <w:rFonts w:asciiTheme="majorHAnsi" w:hAnsiTheme="majorHAnsi" w:cs="Times New Roman"/>
          <w:sz w:val="20"/>
          <w:szCs w:val="20"/>
        </w:rPr>
        <w:instrText xml:space="preserve"> ADDIN EN.CITE &lt;EndNote&gt;&lt;Cite&gt;&lt;Author&gt;Lou&lt;/Author&gt;&lt;Year&gt;2011&lt;/Year&gt;&lt;RecNum&gt;115&lt;/RecNum&gt;&lt;DisplayText&gt;(Lou et al., 2011)&lt;/DisplayText&gt;&lt;record&gt;&lt;rec-number&gt;115&lt;/rec-number&gt;&lt;foreign-keys&gt;&lt;key app="EN" db-id="e5trz90pa55a9ner2w85a5d4wvwrz2axarsd" timestamp="0"&gt;115&lt;/key&gt;&lt;/foreign-keys&gt;&lt;ref-type name="Journal Article"&gt;17&lt;/ref-type&gt;&lt;contributors&gt;&lt;authors&gt;&lt;author&gt;Lou, Menglin&lt;/author&gt;&lt;author&gt;Wang, Huaifeng&lt;/author&gt;&lt;author&gt;Chen, Xi&lt;/author&gt;&lt;author&gt;Zhai, Yongmei&lt;/author&gt;&lt;/authors&gt;&lt;/contributors&gt;&lt;titles&gt;&lt;title&gt;Structure–soil–structure interaction: Literature review&lt;/title&gt;&lt;secondary-title&gt;Soil Dynamics and Earthquake Engineering&lt;/secondary-title&gt;&lt;/titles&gt;&lt;periodical&gt;&lt;full-title&gt;Soil Dynamics and Earthquake Engineering&lt;/full-title&gt;&lt;/periodical&gt;&lt;pages&gt;1724-1731&lt;/pages&gt;&lt;volume&gt;31&lt;/volume&gt;&lt;number&gt;12&lt;/number&gt;&lt;dates&gt;&lt;year&gt;2011&lt;/year&gt;&lt;/dates&gt;&lt;isbn&gt;0267-7261&lt;/isbn&gt;&lt;urls&gt;&lt;/urls&gt;&lt;/record&gt;&lt;/Cite&gt;&lt;/EndNote&gt;</w:instrText>
      </w:r>
      <w:r w:rsidR="003E3524">
        <w:rPr>
          <w:rFonts w:asciiTheme="majorHAnsi" w:hAnsiTheme="majorHAnsi" w:cs="Times New Roman"/>
          <w:sz w:val="20"/>
          <w:szCs w:val="20"/>
        </w:rPr>
        <w:fldChar w:fldCharType="separate"/>
      </w:r>
      <w:r w:rsidR="003E3524">
        <w:rPr>
          <w:rFonts w:asciiTheme="majorHAnsi" w:hAnsiTheme="majorHAnsi" w:cs="Times New Roman"/>
          <w:noProof/>
          <w:sz w:val="20"/>
          <w:szCs w:val="20"/>
        </w:rPr>
        <w:t>(Lou et al., 2011)</w:t>
      </w:r>
      <w:r w:rsidR="003E3524">
        <w:rPr>
          <w:rFonts w:asciiTheme="majorHAnsi" w:hAnsiTheme="majorHAnsi" w:cs="Times New Roman"/>
          <w:sz w:val="20"/>
          <w:szCs w:val="20"/>
        </w:rPr>
        <w:fldChar w:fldCharType="end"/>
      </w:r>
      <w:r w:rsidRPr="00747DE8">
        <w:rPr>
          <w:rFonts w:asciiTheme="majorHAnsi" w:hAnsiTheme="majorHAnsi" w:cs="Times New Roman"/>
          <w:sz w:val="20"/>
          <w:szCs w:val="20"/>
        </w:rPr>
        <w:t>, if the distance between two similar structures is more than 2.5 times the width of the foundation, the interaction effects can be neglected, and if the distance between two structures is less than the width of the foundation, the response of the structure due to interaction is about a 10% increase or decrease. In engineering projects, the diameter of GD and DSM columns is usually designed and executed between 0.5 to 1.50 meters. Furthermore, based on the site and the subsurface layers, the length-to-diameter ratio is 6 to 20. The area replacement ratio is applied between 5% and 30%, which primarily depends on the layer thickness and the degree of relative density</w:t>
      </w:r>
      <w:r w:rsidR="009761E1">
        <w:rPr>
          <w:rFonts w:asciiTheme="majorHAnsi" w:hAnsiTheme="majorHAnsi" w:cs="Times New Roman"/>
          <w:sz w:val="20"/>
          <w:szCs w:val="20"/>
        </w:rPr>
        <w:t xml:space="preserve"> </w:t>
      </w:r>
      <w:r w:rsidR="005E5D87">
        <w:rPr>
          <w:rFonts w:asciiTheme="majorHAnsi" w:hAnsiTheme="majorHAnsi" w:cs="Times New Roman"/>
          <w:sz w:val="20"/>
          <w:szCs w:val="20"/>
        </w:rPr>
        <w:fldChar w:fldCharType="begin"/>
      </w:r>
      <w:r w:rsidR="005E5D87">
        <w:rPr>
          <w:rFonts w:asciiTheme="majorHAnsi" w:hAnsiTheme="majorHAnsi" w:cs="Times New Roman"/>
          <w:sz w:val="20"/>
          <w:szCs w:val="20"/>
        </w:rPr>
        <w:instrText xml:space="preserve"> ADDIN EN.CITE &lt;EndNote&gt;&lt;Cite&gt;&lt;Author&gt;Yang&lt;/Author&gt;&lt;Year&gt;2021&lt;/Year&gt;&lt;RecNum&gt;185&lt;/RecNum&gt;&lt;DisplayText&gt;(Yang et al., 2021)&lt;/DisplayText&gt;&lt;record&gt;&lt;rec-number&gt;185&lt;/rec-number&gt;&lt;foreign-keys&gt;&lt;key app="EN" db-id="e5trz90pa55a9ner2w85a5d4wvwrz2axarsd" timestamp="0"&gt;185&lt;/key&gt;&lt;/foreign-keys&gt;&lt;ref-type name="Journal Article"&gt;17&lt;/ref-type&gt;&lt;contributors&gt;&lt;authors&gt;&lt;author&gt;Yang, Fang Ou&lt;/author&gt;&lt;author&gt;Fan, Gang&lt;/author&gt;&lt;author&gt;Wang, Kaifeng&lt;/author&gt;&lt;author&gt;Yang, Chen&lt;/author&gt;&lt;author&gt;Lyu, Wenqiang&lt;/author&gt;&lt;author&gt;Zhang, Jianjing&lt;/author&gt;&lt;/authors&gt;&lt;/contributors&gt;&lt;titles&gt;&lt;title&gt;A large-scale shaking table model test for acceleration and deformation response of geosynthetic encased stone column composite ground&lt;/title&gt;&lt;secondary-title&gt;Geotextiles and Geomembranes&lt;/secondary-title&gt;&lt;/titles&gt;&lt;periodical&gt;&lt;full-title&gt;Geotextiles and Geomembranes&lt;/full-title&gt;&lt;/periodical&gt;&lt;dates&gt;&lt;year&gt;2021&lt;/year&gt;&lt;/dates&gt;&lt;isbn&gt;0266-1144&lt;/isbn&gt;&lt;urls&gt;&lt;/urls&gt;&lt;/record&gt;&lt;/Cite&gt;&lt;/EndNote&gt;</w:instrText>
      </w:r>
      <w:r w:rsidR="005E5D87">
        <w:rPr>
          <w:rFonts w:asciiTheme="majorHAnsi" w:hAnsiTheme="majorHAnsi" w:cs="Times New Roman"/>
          <w:sz w:val="20"/>
          <w:szCs w:val="20"/>
        </w:rPr>
        <w:fldChar w:fldCharType="separate"/>
      </w:r>
      <w:r w:rsidR="005E5D87">
        <w:rPr>
          <w:rFonts w:asciiTheme="majorHAnsi" w:hAnsiTheme="majorHAnsi" w:cs="Times New Roman"/>
          <w:noProof/>
          <w:sz w:val="20"/>
          <w:szCs w:val="20"/>
        </w:rPr>
        <w:t>(Yang et al., 2021)</w:t>
      </w:r>
      <w:r w:rsidR="005E5D87">
        <w:rPr>
          <w:rFonts w:asciiTheme="majorHAnsi" w:hAnsiTheme="majorHAnsi" w:cs="Times New Roman"/>
          <w:sz w:val="20"/>
          <w:szCs w:val="20"/>
        </w:rPr>
        <w:fldChar w:fldCharType="end"/>
      </w:r>
      <w:r w:rsidRPr="00747DE8">
        <w:rPr>
          <w:rFonts w:asciiTheme="majorHAnsi" w:hAnsiTheme="majorHAnsi" w:cs="Times New Roman"/>
          <w:sz w:val="20"/>
          <w:szCs w:val="20"/>
        </w:rPr>
        <w:t xml:space="preserve">. The geometry of the GD and DSM columns is similar in the model. In the prepared model, the arrangement of the columns is triangular, there are eight of them on each side, and their diameter is 5 cm. The area replacement ratio (Ar) is equal to 18.2% </w:t>
      </w:r>
      <w:r w:rsidR="005E5D87">
        <w:rPr>
          <w:rFonts w:asciiTheme="majorHAnsi" w:hAnsiTheme="majorHAnsi" w:cs="Times New Roman"/>
          <w:sz w:val="20"/>
          <w:szCs w:val="20"/>
        </w:rPr>
        <w:t>.</w:t>
      </w:r>
      <w:r w:rsidRPr="00747DE8">
        <w:rPr>
          <w:rFonts w:asciiTheme="majorHAnsi" w:hAnsiTheme="majorHAnsi" w:cs="Times New Roman"/>
          <w:sz w:val="20"/>
          <w:szCs w:val="20"/>
        </w:rPr>
        <w:t xml:space="preserve"> The dimensions of the foundations are 22 cm in width, 30 cm in length, and 6 cm in thickness, with a weight of 30 kg. The foundation used represents a building of about 10 floors with a stress of 90.91 kPa beneath the foundation. The model consists of two layers: a layer of dense sandy soil at the bottom and a layer of loose sand at the top.</w:t>
      </w:r>
    </w:p>
    <w:p w14:paraId="6D34461F" w14:textId="77777777" w:rsidR="00747DE8" w:rsidRPr="00747DE8" w:rsidRDefault="00747DE8" w:rsidP="00747DE8">
      <w:pPr>
        <w:autoSpaceDE w:val="0"/>
        <w:autoSpaceDN w:val="0"/>
        <w:bidi w:val="0"/>
        <w:adjustRightInd w:val="0"/>
        <w:spacing w:after="0" w:line="240" w:lineRule="auto"/>
        <w:ind w:firstLine="284"/>
        <w:jc w:val="both"/>
        <w:rPr>
          <w:rFonts w:asciiTheme="majorHAnsi" w:hAnsiTheme="majorHAnsi" w:cs="Times New Roman"/>
          <w:sz w:val="20"/>
          <w:szCs w:val="20"/>
        </w:rPr>
      </w:pPr>
    </w:p>
    <w:p w14:paraId="536033F2" w14:textId="72147705" w:rsidR="00747DE8" w:rsidRPr="00747DE8" w:rsidRDefault="00747DE8" w:rsidP="00747DE8">
      <w:pPr>
        <w:autoSpaceDE w:val="0"/>
        <w:autoSpaceDN w:val="0"/>
        <w:bidi w:val="0"/>
        <w:adjustRightInd w:val="0"/>
        <w:spacing w:after="0" w:line="240" w:lineRule="auto"/>
        <w:ind w:firstLine="284"/>
        <w:jc w:val="center"/>
        <w:rPr>
          <w:rFonts w:asciiTheme="majorHAnsi" w:hAnsiTheme="majorHAnsi" w:cs="Times New Roman"/>
          <w:sz w:val="20"/>
          <w:szCs w:val="20"/>
        </w:rPr>
      </w:pPr>
      <w:r w:rsidRPr="00747DE8">
        <w:rPr>
          <w:rFonts w:asciiTheme="majorHAnsi" w:hAnsiTheme="majorHAnsi" w:cs="Times New Roman"/>
          <w:noProof/>
          <w:sz w:val="20"/>
          <w:szCs w:val="20"/>
          <w:lang w:bidi="ar-SA"/>
        </w:rPr>
        <w:drawing>
          <wp:inline distT="0" distB="0" distL="0" distR="0" wp14:anchorId="4F367505" wp14:editId="77340E24">
            <wp:extent cx="3971925"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925" cy="2286000"/>
                    </a:xfrm>
                    <a:prstGeom prst="rect">
                      <a:avLst/>
                    </a:prstGeom>
                    <a:noFill/>
                    <a:ln>
                      <a:noFill/>
                    </a:ln>
                  </pic:spPr>
                </pic:pic>
              </a:graphicData>
            </a:graphic>
          </wp:inline>
        </w:drawing>
      </w:r>
    </w:p>
    <w:p w14:paraId="2CB5A2E2" w14:textId="4079EEE8" w:rsidR="00747DE8" w:rsidRPr="003E3524" w:rsidRDefault="003E3524" w:rsidP="00747DE8">
      <w:pPr>
        <w:autoSpaceDE w:val="0"/>
        <w:autoSpaceDN w:val="0"/>
        <w:bidi w:val="0"/>
        <w:adjustRightInd w:val="0"/>
        <w:spacing w:after="0" w:line="240" w:lineRule="auto"/>
        <w:ind w:firstLine="284"/>
        <w:jc w:val="center"/>
        <w:rPr>
          <w:rFonts w:asciiTheme="majorHAnsi" w:hAnsiTheme="majorHAnsi" w:cs="Times New Roman"/>
          <w:sz w:val="18"/>
          <w:szCs w:val="18"/>
          <w:rtl/>
        </w:rPr>
      </w:pPr>
      <w:r w:rsidRPr="003E3524">
        <w:rPr>
          <w:rFonts w:asciiTheme="majorHAnsi" w:hAnsiTheme="majorHAnsi" w:cs="Times New Roman"/>
          <w:b/>
          <w:bCs/>
          <w:sz w:val="18"/>
          <w:szCs w:val="18"/>
        </w:rPr>
        <w:t>Fig. 1.</w:t>
      </w:r>
      <w:r w:rsidRPr="003E3524">
        <w:rPr>
          <w:rFonts w:asciiTheme="majorHAnsi" w:hAnsiTheme="majorHAnsi" w:cs="Times New Roman"/>
          <w:sz w:val="18"/>
          <w:szCs w:val="18"/>
        </w:rPr>
        <w:t xml:space="preserve"> </w:t>
      </w:r>
      <w:r w:rsidR="00747DE8" w:rsidRPr="003E3524">
        <w:rPr>
          <w:rFonts w:asciiTheme="majorHAnsi" w:hAnsiTheme="majorHAnsi" w:cs="Times New Roman"/>
          <w:sz w:val="18"/>
          <w:szCs w:val="18"/>
        </w:rPr>
        <w:t>Model plan (dimensions in centimeters)</w:t>
      </w:r>
    </w:p>
    <w:p w14:paraId="07BC625E" w14:textId="77777777" w:rsidR="0047017F" w:rsidRDefault="0047017F" w:rsidP="008C7599">
      <w:pPr>
        <w:autoSpaceDE w:val="0"/>
        <w:autoSpaceDN w:val="0"/>
        <w:bidi w:val="0"/>
        <w:adjustRightInd w:val="0"/>
        <w:spacing w:after="0" w:line="240" w:lineRule="auto"/>
        <w:jc w:val="both"/>
        <w:rPr>
          <w:rFonts w:ascii="Times New Roman" w:hAnsi="Times New Roman" w:cs="Times New Roman"/>
          <w:sz w:val="20"/>
          <w:szCs w:val="20"/>
        </w:rPr>
      </w:pPr>
    </w:p>
    <w:p w14:paraId="61166DF6" w14:textId="77777777" w:rsidR="0047017F" w:rsidRDefault="0047017F" w:rsidP="00C6133C">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3</w:t>
      </w:r>
      <w:r w:rsidRPr="005B23C1">
        <w:rPr>
          <w:rFonts w:ascii="Cambria" w:hAnsi="Cambria" w:cs="Times New Roman"/>
          <w:b/>
          <w:bCs/>
        </w:rPr>
        <w:t xml:space="preserve">. </w:t>
      </w:r>
      <w:r>
        <w:rPr>
          <w:rFonts w:ascii="Cambria" w:hAnsi="Cambria" w:cs="Times New Roman"/>
          <w:b/>
          <w:bCs/>
        </w:rPr>
        <w:t>Results and discussion</w:t>
      </w:r>
    </w:p>
    <w:p w14:paraId="348570F3" w14:textId="0D7EBCA4" w:rsidR="0047017F" w:rsidRPr="000E1957" w:rsidRDefault="0047017F" w:rsidP="000E1957">
      <w:pPr>
        <w:autoSpaceDE w:val="0"/>
        <w:autoSpaceDN w:val="0"/>
        <w:bidi w:val="0"/>
        <w:adjustRightInd w:val="0"/>
        <w:spacing w:after="120" w:line="240" w:lineRule="auto"/>
        <w:jc w:val="both"/>
        <w:rPr>
          <w:rFonts w:ascii="Cambria" w:hAnsi="Cambria" w:cs="Times New Roman"/>
          <w:i/>
          <w:iCs/>
        </w:rPr>
      </w:pPr>
      <w:r w:rsidRPr="000E1957">
        <w:rPr>
          <w:rFonts w:ascii="Cambria" w:hAnsi="Cambria" w:cs="Times New Roman"/>
          <w:i/>
          <w:iCs/>
        </w:rPr>
        <w:t xml:space="preserve">3.1. Effect of </w:t>
      </w:r>
      <w:r w:rsidR="005E5D87">
        <w:rPr>
          <w:rFonts w:ascii="Cambria" w:hAnsi="Cambria" w:cs="Times New Roman"/>
          <w:i/>
          <w:iCs/>
        </w:rPr>
        <w:t>thickne</w:t>
      </w:r>
      <w:r w:rsidR="00295285">
        <w:rPr>
          <w:rFonts w:ascii="Cambria" w:hAnsi="Cambria" w:cs="Times New Roman"/>
          <w:i/>
          <w:iCs/>
        </w:rPr>
        <w:t>ss of liquefiable layer on the excess pore water pressure</w:t>
      </w:r>
    </w:p>
    <w:p w14:paraId="7E4AFA68" w14:textId="3B6D2543" w:rsidR="0047017F" w:rsidRDefault="00295285" w:rsidP="00E90994">
      <w:pPr>
        <w:autoSpaceDE w:val="0"/>
        <w:autoSpaceDN w:val="0"/>
        <w:bidi w:val="0"/>
        <w:adjustRightInd w:val="0"/>
        <w:spacing w:after="0" w:line="240" w:lineRule="auto"/>
        <w:ind w:firstLine="284"/>
        <w:jc w:val="both"/>
        <w:rPr>
          <w:rFonts w:asciiTheme="majorHAnsi" w:hAnsiTheme="majorHAnsi" w:cs="Times New Roman"/>
          <w:sz w:val="20"/>
          <w:szCs w:val="20"/>
        </w:rPr>
      </w:pPr>
      <w:r w:rsidRPr="00295285">
        <w:rPr>
          <w:rFonts w:asciiTheme="majorHAnsi" w:hAnsiTheme="majorHAnsi" w:cs="Times New Roman"/>
          <w:sz w:val="20"/>
          <w:szCs w:val="20"/>
        </w:rPr>
        <w:t xml:space="preserve">The thickness of the liquefiable layer and the frequency of the input motion have important effects on the maximum values of the ru. The rumax values in the unimproved ground (Test A) were higher than in other cases, and complete liquefaction occurred. However, in other tests, due to soil improvement under the foundation, soil behavior and responses changed significantly, and the value of the excess water pressure ratio was generally reduced. </w:t>
      </w:r>
    </w:p>
    <w:p w14:paraId="0E2580F7" w14:textId="77777777" w:rsidR="0047017F" w:rsidRDefault="0047017F" w:rsidP="005A5A1B">
      <w:pPr>
        <w:autoSpaceDE w:val="0"/>
        <w:autoSpaceDN w:val="0"/>
        <w:bidi w:val="0"/>
        <w:adjustRightInd w:val="0"/>
        <w:spacing w:after="0" w:line="240" w:lineRule="auto"/>
        <w:jc w:val="center"/>
        <w:rPr>
          <w:rFonts w:ascii="Times New Roman" w:hAnsi="Times New Roman" w:cs="Times New Roman"/>
          <w:sz w:val="20"/>
          <w:szCs w:val="20"/>
        </w:rPr>
      </w:pPr>
    </w:p>
    <w:p w14:paraId="4FD12BF7" w14:textId="6B36B1F9" w:rsidR="0047017F" w:rsidRPr="00642764" w:rsidRDefault="0047017F" w:rsidP="004026EB">
      <w:pPr>
        <w:autoSpaceDE w:val="0"/>
        <w:autoSpaceDN w:val="0"/>
        <w:bidi w:val="0"/>
        <w:adjustRightInd w:val="0"/>
        <w:spacing w:after="120" w:line="240" w:lineRule="auto"/>
        <w:jc w:val="both"/>
        <w:rPr>
          <w:rFonts w:ascii="Cambria" w:hAnsi="Cambria" w:cs="Times New Roman"/>
          <w:i/>
          <w:iCs/>
        </w:rPr>
      </w:pPr>
      <w:r w:rsidRPr="00642764">
        <w:rPr>
          <w:rFonts w:ascii="Cambria" w:hAnsi="Cambria" w:cs="Times New Roman"/>
          <w:i/>
          <w:iCs/>
        </w:rPr>
        <w:t xml:space="preserve">3.2. </w:t>
      </w:r>
      <w:r w:rsidR="009761E1" w:rsidRPr="000E1957">
        <w:rPr>
          <w:rFonts w:ascii="Cambria" w:hAnsi="Cambria" w:cs="Times New Roman"/>
          <w:i/>
          <w:iCs/>
        </w:rPr>
        <w:t xml:space="preserve">Effect </w:t>
      </w:r>
      <w:r w:rsidR="008E7F11" w:rsidRPr="000E1957">
        <w:rPr>
          <w:rFonts w:ascii="Cambria" w:hAnsi="Cambria" w:cs="Times New Roman"/>
          <w:i/>
          <w:iCs/>
        </w:rPr>
        <w:t>of</w:t>
      </w:r>
      <w:r w:rsidR="008E7F11">
        <w:rPr>
          <w:rFonts w:ascii="Cambria" w:hAnsi="Cambria" w:cs="Times New Roman"/>
          <w:i/>
          <w:iCs/>
        </w:rPr>
        <w:t xml:space="preserve"> </w:t>
      </w:r>
      <w:r w:rsidR="008E7F11" w:rsidRPr="000E1957">
        <w:rPr>
          <w:rFonts w:ascii="Cambria" w:hAnsi="Cambria" w:cs="Times New Roman"/>
          <w:i/>
          <w:iCs/>
        </w:rPr>
        <w:t>input</w:t>
      </w:r>
      <w:r w:rsidR="008E7F11">
        <w:rPr>
          <w:rFonts w:ascii="Cambria" w:hAnsi="Cambria" w:cs="Times New Roman"/>
          <w:i/>
          <w:iCs/>
        </w:rPr>
        <w:t xml:space="preserve"> frequency</w:t>
      </w:r>
      <w:r w:rsidR="009761E1">
        <w:rPr>
          <w:rFonts w:ascii="Cambria" w:hAnsi="Cambria" w:cs="Times New Roman"/>
          <w:i/>
          <w:iCs/>
        </w:rPr>
        <w:t xml:space="preserve"> on the</w:t>
      </w:r>
      <w:r w:rsidR="008E7F11">
        <w:rPr>
          <w:rFonts w:ascii="Cambria" w:hAnsi="Cambria" w:cs="Times New Roman"/>
          <w:i/>
          <w:iCs/>
        </w:rPr>
        <w:t xml:space="preserve"> settlements</w:t>
      </w:r>
      <w:r w:rsidR="009761E1">
        <w:rPr>
          <w:rFonts w:ascii="Cambria" w:hAnsi="Cambria" w:cs="Times New Roman"/>
          <w:i/>
          <w:iCs/>
        </w:rPr>
        <w:t xml:space="preserve"> </w:t>
      </w:r>
    </w:p>
    <w:p w14:paraId="1A5F8039" w14:textId="3A5813CA" w:rsidR="003355C3" w:rsidRDefault="003355C3" w:rsidP="003355C3">
      <w:pPr>
        <w:bidi w:val="0"/>
        <w:ind w:firstLine="284"/>
        <w:jc w:val="both"/>
        <w:rPr>
          <w:rFonts w:asciiTheme="majorHAnsi" w:hAnsiTheme="majorHAnsi" w:cs="Times New Roman"/>
          <w:sz w:val="20"/>
          <w:szCs w:val="20"/>
        </w:rPr>
      </w:pPr>
      <w:r w:rsidRPr="003355C3">
        <w:rPr>
          <w:rFonts w:asciiTheme="majorHAnsi" w:hAnsiTheme="majorHAnsi" w:cs="Times New Roman"/>
          <w:sz w:val="20"/>
          <w:szCs w:val="20"/>
        </w:rPr>
        <w:t>The dominant frequencies in the D5 test series at the beginning and end of the test were estimated to be 14 Hz and 1.45 Hz, respectively. In other words, the dominant frequency of the system is decreased due to pore water pressure buildup.</w:t>
      </w:r>
      <w:r>
        <w:rPr>
          <w:rFonts w:asciiTheme="majorHAnsi" w:hAnsiTheme="majorHAnsi" w:cs="Times New Roman"/>
          <w:sz w:val="20"/>
          <w:szCs w:val="20"/>
        </w:rPr>
        <w:t xml:space="preserve"> </w:t>
      </w:r>
      <w:r w:rsidRPr="003355C3">
        <w:rPr>
          <w:rFonts w:asciiTheme="majorHAnsi" w:hAnsiTheme="majorHAnsi" w:cs="Times New Roman"/>
          <w:sz w:val="20"/>
          <w:szCs w:val="20"/>
        </w:rPr>
        <w:t>The amount of input frequency in the soil system and foundation at different thicknesses in liquefiable soil has diverse effects on the subsidence behavior of the foundation.</w:t>
      </w:r>
      <w:r w:rsidR="00C20E68">
        <w:rPr>
          <w:rFonts w:asciiTheme="majorHAnsi" w:hAnsiTheme="majorHAnsi" w:cs="Times New Roman"/>
          <w:sz w:val="20"/>
          <w:szCs w:val="20"/>
        </w:rPr>
        <w:t xml:space="preserve"> T</w:t>
      </w:r>
      <w:r w:rsidRPr="003355C3">
        <w:rPr>
          <w:rFonts w:asciiTheme="majorHAnsi" w:hAnsiTheme="majorHAnsi" w:cs="Times New Roman"/>
          <w:sz w:val="20"/>
          <w:szCs w:val="20"/>
        </w:rPr>
        <w:t xml:space="preserve">he maximum settlement values ​​at different thicknesses of the liquefiable soil layer are related to its input frequency. In GD columns in the D5 test series, where the thickness of the liquefaction layer was high, the maximum settlement value was much higher at 1 Hz compared with higher frequencies. Also, in the D30 series tests, where the thickness of the liquefiable layer was 40 cm, the amount of subsidence at 2 Hz was higher than at other frequencies. In the D50 series tests, where the thickness of the liquefiable layer was low, the subsidence at a frequency of about 3 Hz was more than at other frequencies. This general trend could be attributed to the </w:t>
      </w:r>
      <w:r w:rsidRPr="003355C3">
        <w:rPr>
          <w:rFonts w:asciiTheme="majorHAnsi" w:hAnsiTheme="majorHAnsi" w:cs="Times New Roman"/>
          <w:sz w:val="20"/>
          <w:szCs w:val="20"/>
        </w:rPr>
        <w:lastRenderedPageBreak/>
        <w:t xml:space="preserve">reality that in thick liquifiable layer the dominant frequency is lower and so in low input frequencies the resonance phenomenon causes larger settlements.  </w:t>
      </w:r>
    </w:p>
    <w:p w14:paraId="6239EDDE" w14:textId="69DC2EB8" w:rsidR="00893176" w:rsidRPr="00642764" w:rsidRDefault="00893176" w:rsidP="00893176">
      <w:pPr>
        <w:autoSpaceDE w:val="0"/>
        <w:autoSpaceDN w:val="0"/>
        <w:bidi w:val="0"/>
        <w:adjustRightInd w:val="0"/>
        <w:spacing w:after="120" w:line="240" w:lineRule="auto"/>
        <w:jc w:val="both"/>
        <w:rPr>
          <w:rFonts w:ascii="Cambria" w:hAnsi="Cambria" w:cs="Times New Roman"/>
          <w:i/>
          <w:iCs/>
        </w:rPr>
      </w:pPr>
      <w:r w:rsidRPr="00642764">
        <w:rPr>
          <w:rFonts w:ascii="Cambria" w:hAnsi="Cambria" w:cs="Times New Roman"/>
          <w:i/>
          <w:iCs/>
        </w:rPr>
        <w:t>3.</w:t>
      </w:r>
      <w:r>
        <w:rPr>
          <w:rFonts w:ascii="Cambria" w:hAnsi="Cambria" w:cs="Times New Roman"/>
          <w:i/>
          <w:iCs/>
        </w:rPr>
        <w:t>3</w:t>
      </w:r>
      <w:r w:rsidRPr="00642764">
        <w:rPr>
          <w:rFonts w:ascii="Cambria" w:hAnsi="Cambria" w:cs="Times New Roman"/>
          <w:i/>
          <w:iCs/>
        </w:rPr>
        <w:t>.</w:t>
      </w:r>
      <w:r w:rsidR="00015EAD">
        <w:rPr>
          <w:rFonts w:ascii="Cambria" w:hAnsi="Cambria" w:cs="Times New Roman"/>
          <w:i/>
          <w:iCs/>
        </w:rPr>
        <w:t xml:space="preserve"> Behavior of stress-strain</w:t>
      </w:r>
    </w:p>
    <w:p w14:paraId="5FFC0432" w14:textId="07F791B6" w:rsidR="00893176" w:rsidRPr="003355C3" w:rsidRDefault="00015EAD" w:rsidP="00015EAD">
      <w:pPr>
        <w:autoSpaceDE w:val="0"/>
        <w:autoSpaceDN w:val="0"/>
        <w:bidi w:val="0"/>
        <w:adjustRightInd w:val="0"/>
        <w:spacing w:after="0" w:line="240" w:lineRule="auto"/>
        <w:ind w:firstLine="284"/>
        <w:jc w:val="both"/>
        <w:rPr>
          <w:rFonts w:asciiTheme="majorHAnsi" w:hAnsiTheme="majorHAnsi" w:cs="Times New Roman"/>
          <w:sz w:val="20"/>
          <w:szCs w:val="20"/>
        </w:rPr>
      </w:pPr>
      <w:r w:rsidRPr="00015EAD">
        <w:rPr>
          <w:rFonts w:asciiTheme="majorHAnsi" w:hAnsiTheme="majorHAnsi" w:cs="Times New Roman"/>
          <w:sz w:val="20"/>
          <w:szCs w:val="20"/>
        </w:rPr>
        <w:t>According to the hysteresis curves in test A, it can be seen that the stress and strain loops tend to become horizontal in the first cycles of loading, which indicates the decrease in soil hardness, which is caused by the liquefaction phenomenon in the soil layer. But in other models, due to the use of improvement methods in the soil, the tendency of the stress and strain rings to become horizontal decreases, and more cycles are required for the rings to become horizontal.</w:t>
      </w:r>
    </w:p>
    <w:p w14:paraId="200D438D" w14:textId="77777777" w:rsidR="009761E1" w:rsidRPr="00F04E27" w:rsidRDefault="009761E1" w:rsidP="00F04E27">
      <w:pPr>
        <w:autoSpaceDE w:val="0"/>
        <w:autoSpaceDN w:val="0"/>
        <w:bidi w:val="0"/>
        <w:adjustRightInd w:val="0"/>
        <w:spacing w:after="0" w:line="240" w:lineRule="auto"/>
        <w:ind w:firstLine="284"/>
        <w:jc w:val="both"/>
        <w:rPr>
          <w:rFonts w:asciiTheme="majorHAnsi" w:hAnsiTheme="majorHAnsi"/>
          <w:sz w:val="20"/>
          <w:szCs w:val="20"/>
        </w:rPr>
      </w:pPr>
    </w:p>
    <w:p w14:paraId="3DA82789" w14:textId="77777777" w:rsidR="0047017F" w:rsidRPr="005B23C1" w:rsidRDefault="0047017F" w:rsidP="00AC6227">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4</w:t>
      </w:r>
      <w:r w:rsidRPr="005B23C1">
        <w:rPr>
          <w:rFonts w:ascii="Cambria" w:hAnsi="Cambria" w:cs="Times New Roman"/>
          <w:b/>
          <w:bCs/>
        </w:rPr>
        <w:t xml:space="preserve">. </w:t>
      </w:r>
      <w:r>
        <w:rPr>
          <w:rFonts w:ascii="Cambria" w:hAnsi="Cambria" w:cs="Times New Roman"/>
          <w:b/>
          <w:bCs/>
        </w:rPr>
        <w:t>Conclusions</w:t>
      </w:r>
    </w:p>
    <w:p w14:paraId="770181AA" w14:textId="656D52CD" w:rsidR="0047017F" w:rsidRPr="00E50899" w:rsidRDefault="00951D18" w:rsidP="00C8200E">
      <w:pPr>
        <w:autoSpaceDE w:val="0"/>
        <w:autoSpaceDN w:val="0"/>
        <w:bidi w:val="0"/>
        <w:adjustRightInd w:val="0"/>
        <w:spacing w:after="0" w:line="240" w:lineRule="auto"/>
        <w:ind w:firstLine="284"/>
        <w:jc w:val="both"/>
        <w:rPr>
          <w:rFonts w:asciiTheme="majorHAnsi" w:hAnsiTheme="majorHAnsi" w:cs="Times New Roman"/>
          <w:sz w:val="20"/>
          <w:szCs w:val="20"/>
        </w:rPr>
      </w:pPr>
      <w:r w:rsidRPr="00951D18">
        <w:rPr>
          <w:rFonts w:asciiTheme="majorHAnsi" w:hAnsiTheme="majorHAnsi" w:cs="Times New Roman"/>
          <w:sz w:val="20"/>
          <w:szCs w:val="20"/>
        </w:rPr>
        <w:t>The main purpose of this paper is to investigate the effect of liquefiable layer thickness on the dynamic behavior of the foundation placed on a saturated loose sand layer that has been improved by two techniques of deep mixing columns (DSM) and gravel drain columns (GD).</w:t>
      </w:r>
      <w:r w:rsidR="005B396D">
        <w:rPr>
          <w:rFonts w:asciiTheme="majorHAnsi" w:hAnsiTheme="majorHAnsi" w:cs="Times New Roman"/>
          <w:sz w:val="20"/>
          <w:szCs w:val="20"/>
        </w:rPr>
        <w:t xml:space="preserve"> </w:t>
      </w:r>
      <w:r w:rsidR="005B396D" w:rsidRPr="005B396D">
        <w:rPr>
          <w:rFonts w:asciiTheme="majorHAnsi" w:hAnsiTheme="majorHAnsi" w:cs="Times New Roman"/>
          <w:sz w:val="20"/>
          <w:szCs w:val="20"/>
        </w:rPr>
        <w:t>Acceleration peak and input frequency affect the acceleration response at ground level. The ratio of the input acceleration peak to the horizontal acceleration peak at the foundation level in the non-improved model (Test A) was less than unity, while in the improved ground, this ratio was more than unity.</w:t>
      </w:r>
      <w:r w:rsidR="005B396D">
        <w:rPr>
          <w:rFonts w:asciiTheme="majorHAnsi" w:hAnsiTheme="majorHAnsi" w:cs="Times New Roman"/>
          <w:sz w:val="20"/>
          <w:szCs w:val="20"/>
        </w:rPr>
        <w:t xml:space="preserve"> </w:t>
      </w:r>
      <w:r w:rsidR="005B396D" w:rsidRPr="005B396D">
        <w:rPr>
          <w:rFonts w:asciiTheme="majorHAnsi" w:hAnsiTheme="majorHAnsi" w:cs="Times New Roman"/>
          <w:sz w:val="20"/>
          <w:szCs w:val="20"/>
        </w:rPr>
        <w:t>Deep mixing columns have significantly magnified ground surface accelerations compared with gravel drain columns, indicating that the ground is reinforced with deep mixing columns.</w:t>
      </w:r>
      <w:r w:rsidR="005B396D">
        <w:rPr>
          <w:rFonts w:asciiTheme="majorHAnsi" w:hAnsiTheme="majorHAnsi" w:cs="Times New Roman"/>
          <w:sz w:val="20"/>
          <w:szCs w:val="20"/>
        </w:rPr>
        <w:t xml:space="preserve"> </w:t>
      </w:r>
      <w:r w:rsidR="005B396D" w:rsidRPr="005B396D">
        <w:rPr>
          <w:rFonts w:asciiTheme="majorHAnsi" w:hAnsiTheme="majorHAnsi" w:cs="Times New Roman"/>
          <w:sz w:val="20"/>
          <w:szCs w:val="20"/>
        </w:rPr>
        <w:t>As the thickness of the saturated loose layer decreases, the effect and dynamic behavior of the gravel columns become closer to the deep mixing columns. Therefore, in variable thickness layers, time and cost can be saved by choosing the optimal improvement method.</w:t>
      </w:r>
      <w:r w:rsidR="00015EAD">
        <w:rPr>
          <w:rFonts w:asciiTheme="majorHAnsi" w:hAnsiTheme="majorHAnsi" w:cs="Times New Roman"/>
          <w:sz w:val="20"/>
          <w:szCs w:val="20"/>
        </w:rPr>
        <w:t xml:space="preserve"> </w:t>
      </w:r>
      <w:r w:rsidR="008301C1" w:rsidRPr="008301C1">
        <w:rPr>
          <w:rFonts w:asciiTheme="majorHAnsi" w:hAnsiTheme="majorHAnsi" w:cs="Times New Roman"/>
          <w:sz w:val="20"/>
          <w:szCs w:val="20"/>
        </w:rPr>
        <w:t>In thick, loose, saturated sand layers, due to the production of high pore water overpressure and large shear strain, the hardness values of the soil mass drop sharply. Among the two improvement methods mentioned, the new technique of deep mixing columns in thick layers has a better performance than sand columns and has significantly maintained the average shear stiffness and reduced the shear strain of the soil mass.</w:t>
      </w:r>
    </w:p>
    <w:p w14:paraId="0FD8613B" w14:textId="77777777" w:rsidR="0047017F" w:rsidRDefault="0047017F" w:rsidP="008F3F6D">
      <w:pPr>
        <w:autoSpaceDE w:val="0"/>
        <w:autoSpaceDN w:val="0"/>
        <w:bidi w:val="0"/>
        <w:adjustRightInd w:val="0"/>
        <w:spacing w:after="0" w:line="240" w:lineRule="auto"/>
        <w:ind w:firstLine="284"/>
        <w:jc w:val="both"/>
        <w:rPr>
          <w:rFonts w:ascii="Times New Roman" w:hAnsi="Times New Roman" w:cs="Times New Roman"/>
          <w:sz w:val="20"/>
          <w:szCs w:val="20"/>
        </w:rPr>
      </w:pPr>
    </w:p>
    <w:p w14:paraId="7B16BB51" w14:textId="77777777" w:rsidR="0047017F" w:rsidRPr="005B23C1" w:rsidRDefault="0047017F" w:rsidP="00AC3B97">
      <w:pPr>
        <w:autoSpaceDE w:val="0"/>
        <w:autoSpaceDN w:val="0"/>
        <w:bidi w:val="0"/>
        <w:adjustRightInd w:val="0"/>
        <w:spacing w:after="120" w:line="240" w:lineRule="auto"/>
        <w:jc w:val="both"/>
        <w:rPr>
          <w:rFonts w:ascii="Cambria" w:hAnsi="Cambria" w:cs="Times New Roman"/>
          <w:b/>
          <w:bCs/>
        </w:rPr>
      </w:pPr>
      <w:r>
        <w:rPr>
          <w:rFonts w:ascii="Cambria" w:hAnsi="Cambria" w:cs="Times New Roman"/>
          <w:b/>
          <w:bCs/>
        </w:rPr>
        <w:t>5</w:t>
      </w:r>
      <w:r w:rsidRPr="005B23C1">
        <w:rPr>
          <w:rFonts w:ascii="Cambria" w:hAnsi="Cambria" w:cs="Times New Roman"/>
          <w:b/>
          <w:bCs/>
        </w:rPr>
        <w:t xml:space="preserve">. </w:t>
      </w:r>
      <w:r>
        <w:rPr>
          <w:rFonts w:ascii="Cambria" w:hAnsi="Cambria" w:cs="Times New Roman"/>
          <w:b/>
          <w:bCs/>
        </w:rPr>
        <w:t>References</w:t>
      </w:r>
    </w:p>
    <w:p w14:paraId="190EECEE" w14:textId="42ECF356" w:rsidR="005E5D87" w:rsidRPr="00C20E68" w:rsidRDefault="003E3524" w:rsidP="00C20E68">
      <w:pPr>
        <w:autoSpaceDE w:val="0"/>
        <w:autoSpaceDN w:val="0"/>
        <w:bidi w:val="0"/>
        <w:adjustRightInd w:val="0"/>
        <w:spacing w:after="40" w:line="240" w:lineRule="auto"/>
        <w:ind w:left="284" w:hanging="284"/>
        <w:jc w:val="both"/>
        <w:rPr>
          <w:rFonts w:asciiTheme="majorHAnsi" w:hAnsiTheme="majorHAnsi" w:cs="Times New Roman"/>
          <w:sz w:val="20"/>
          <w:szCs w:val="20"/>
        </w:rPr>
      </w:pPr>
      <w:r w:rsidRPr="00C20E68">
        <w:rPr>
          <w:rFonts w:asciiTheme="majorHAnsi" w:hAnsiTheme="majorHAnsi" w:cs="Times New Roman"/>
          <w:sz w:val="20"/>
          <w:szCs w:val="20"/>
        </w:rPr>
        <w:fldChar w:fldCharType="begin"/>
      </w:r>
      <w:r w:rsidRPr="00C20E68">
        <w:rPr>
          <w:rFonts w:asciiTheme="majorHAnsi" w:hAnsiTheme="majorHAnsi" w:cs="Times New Roman"/>
          <w:sz w:val="20"/>
          <w:szCs w:val="20"/>
        </w:rPr>
        <w:instrText xml:space="preserve"> ADDIN EN.REFLIST </w:instrText>
      </w:r>
      <w:r w:rsidRPr="00C20E68">
        <w:rPr>
          <w:rFonts w:asciiTheme="majorHAnsi" w:hAnsiTheme="majorHAnsi" w:cs="Times New Roman"/>
          <w:sz w:val="20"/>
          <w:szCs w:val="20"/>
        </w:rPr>
        <w:fldChar w:fldCharType="separate"/>
      </w:r>
      <w:r w:rsidR="005E5D87" w:rsidRPr="00C20E68">
        <w:rPr>
          <w:rFonts w:asciiTheme="majorHAnsi" w:hAnsiTheme="majorHAnsi" w:cs="Times New Roman"/>
          <w:sz w:val="20"/>
          <w:szCs w:val="20"/>
        </w:rPr>
        <w:t>Lou M, Wang H, Chen X</w:t>
      </w:r>
      <w:r w:rsidR="008B0006">
        <w:rPr>
          <w:rFonts w:asciiTheme="majorHAnsi" w:hAnsiTheme="majorHAnsi" w:cs="Times New Roman"/>
          <w:sz w:val="20"/>
          <w:szCs w:val="20"/>
        </w:rPr>
        <w:t>,</w:t>
      </w:r>
      <w:r w:rsidR="005E5D87" w:rsidRPr="00C20E68">
        <w:rPr>
          <w:rFonts w:asciiTheme="majorHAnsi" w:hAnsiTheme="majorHAnsi" w:cs="Times New Roman"/>
          <w:sz w:val="20"/>
          <w:szCs w:val="20"/>
        </w:rPr>
        <w:t xml:space="preserve"> Zhai Y</w:t>
      </w:r>
      <w:r w:rsidR="00C20E68" w:rsidRPr="00172B11">
        <w:rPr>
          <w:rFonts w:asciiTheme="majorHAnsi" w:hAnsiTheme="majorHAnsi" w:cs="Times New Roman"/>
          <w:sz w:val="20"/>
          <w:szCs w:val="20"/>
        </w:rPr>
        <w:t>, “</w:t>
      </w:r>
      <w:r w:rsidR="005E5D87" w:rsidRPr="00C20E68">
        <w:rPr>
          <w:rFonts w:asciiTheme="majorHAnsi" w:hAnsiTheme="majorHAnsi" w:cs="Times New Roman"/>
          <w:sz w:val="20"/>
          <w:szCs w:val="20"/>
        </w:rPr>
        <w:t>Structure–soil–structure interaction: Literature review</w:t>
      </w:r>
      <w:r w:rsidR="00C20E68" w:rsidRPr="00172B11">
        <w:rPr>
          <w:rFonts w:asciiTheme="majorHAnsi" w:hAnsiTheme="majorHAnsi" w:cs="Times New Roman"/>
          <w:sz w:val="20"/>
          <w:szCs w:val="20"/>
        </w:rPr>
        <w:t>”,</w:t>
      </w:r>
      <w:r w:rsidR="005E5D87" w:rsidRPr="00C20E68">
        <w:rPr>
          <w:rFonts w:asciiTheme="majorHAnsi" w:hAnsiTheme="majorHAnsi" w:cs="Times New Roman"/>
          <w:sz w:val="20"/>
          <w:szCs w:val="20"/>
        </w:rPr>
        <w:t xml:space="preserve"> Soil Dynamics and Earthquake Engineering, </w:t>
      </w:r>
      <w:r w:rsidR="00C20E68">
        <w:rPr>
          <w:rFonts w:asciiTheme="majorHAnsi" w:hAnsiTheme="majorHAnsi" w:cs="Times New Roman"/>
          <w:sz w:val="20"/>
          <w:szCs w:val="20"/>
        </w:rPr>
        <w:t xml:space="preserve">2011, </w:t>
      </w:r>
      <w:r w:rsidR="005E5D87" w:rsidRPr="00C20E68">
        <w:rPr>
          <w:rFonts w:asciiTheme="majorHAnsi" w:hAnsiTheme="majorHAnsi" w:cs="Times New Roman"/>
          <w:sz w:val="20"/>
          <w:szCs w:val="20"/>
        </w:rPr>
        <w:t>31(12), pp. 1724-1731.</w:t>
      </w:r>
    </w:p>
    <w:p w14:paraId="74B4B3F9" w14:textId="0B8C5FDE" w:rsidR="005E5D87" w:rsidRPr="00C20E68" w:rsidRDefault="005E5D87" w:rsidP="00C20E68">
      <w:pPr>
        <w:autoSpaceDE w:val="0"/>
        <w:autoSpaceDN w:val="0"/>
        <w:bidi w:val="0"/>
        <w:adjustRightInd w:val="0"/>
        <w:spacing w:after="40" w:line="240" w:lineRule="auto"/>
        <w:ind w:left="284" w:hanging="284"/>
        <w:jc w:val="both"/>
        <w:rPr>
          <w:rFonts w:asciiTheme="majorHAnsi" w:hAnsiTheme="majorHAnsi" w:cs="Times New Roman"/>
          <w:sz w:val="20"/>
          <w:szCs w:val="20"/>
        </w:rPr>
      </w:pPr>
      <w:r w:rsidRPr="00C20E68">
        <w:rPr>
          <w:rFonts w:asciiTheme="majorHAnsi" w:hAnsiTheme="majorHAnsi" w:cs="Times New Roman"/>
          <w:sz w:val="20"/>
          <w:szCs w:val="20"/>
        </w:rPr>
        <w:t>Yang F. O, Fan G, Wang, K, Yang C, Lyu W</w:t>
      </w:r>
      <w:r w:rsidR="008B0006">
        <w:rPr>
          <w:rFonts w:asciiTheme="majorHAnsi" w:hAnsiTheme="majorHAnsi" w:cs="Times New Roman"/>
          <w:sz w:val="20"/>
          <w:szCs w:val="20"/>
        </w:rPr>
        <w:t xml:space="preserve">, </w:t>
      </w:r>
      <w:r w:rsidRPr="00C20E68">
        <w:rPr>
          <w:rFonts w:asciiTheme="majorHAnsi" w:hAnsiTheme="majorHAnsi" w:cs="Times New Roman"/>
          <w:sz w:val="20"/>
          <w:szCs w:val="20"/>
        </w:rPr>
        <w:t>Zhang J</w:t>
      </w:r>
      <w:r w:rsidR="008B0006" w:rsidRPr="008B0006">
        <w:rPr>
          <w:rFonts w:asciiTheme="majorHAnsi" w:hAnsiTheme="majorHAnsi" w:cs="Times New Roman"/>
          <w:sz w:val="20"/>
          <w:szCs w:val="20"/>
        </w:rPr>
        <w:t>, “</w:t>
      </w:r>
      <w:r w:rsidRPr="00C20E68">
        <w:rPr>
          <w:rFonts w:asciiTheme="majorHAnsi" w:hAnsiTheme="majorHAnsi" w:cs="Times New Roman"/>
          <w:sz w:val="20"/>
          <w:szCs w:val="20"/>
        </w:rPr>
        <w:t>A large-scale shaking table model test for acceleration and deformation response of geosynthetic encased stone column composite ground</w:t>
      </w:r>
      <w:r w:rsidR="008B0006" w:rsidRPr="008B0006">
        <w:rPr>
          <w:rFonts w:asciiTheme="majorHAnsi" w:hAnsiTheme="majorHAnsi" w:cs="Times New Roman"/>
          <w:sz w:val="20"/>
          <w:szCs w:val="20"/>
        </w:rPr>
        <w:t>”,</w:t>
      </w:r>
      <w:r w:rsidRPr="00C20E68">
        <w:rPr>
          <w:rFonts w:asciiTheme="majorHAnsi" w:hAnsiTheme="majorHAnsi" w:cs="Times New Roman"/>
          <w:sz w:val="20"/>
          <w:szCs w:val="20"/>
        </w:rPr>
        <w:t xml:space="preserve"> Geotextiles and Geomembranes</w:t>
      </w:r>
      <w:r w:rsidR="008B0006">
        <w:rPr>
          <w:rFonts w:asciiTheme="majorHAnsi" w:hAnsiTheme="majorHAnsi" w:cs="Times New Roman"/>
          <w:sz w:val="20"/>
          <w:szCs w:val="20"/>
        </w:rPr>
        <w:t>, 2021</w:t>
      </w:r>
      <w:r w:rsidRPr="00C20E68">
        <w:rPr>
          <w:rFonts w:asciiTheme="majorHAnsi" w:hAnsiTheme="majorHAnsi" w:cs="Times New Roman"/>
          <w:sz w:val="20"/>
          <w:szCs w:val="20"/>
        </w:rPr>
        <w:t>.</w:t>
      </w:r>
    </w:p>
    <w:p w14:paraId="14FBC0B7" w14:textId="7277B055" w:rsidR="00172B11" w:rsidRPr="00172B11" w:rsidRDefault="003E3524" w:rsidP="005E5D87">
      <w:pPr>
        <w:autoSpaceDE w:val="0"/>
        <w:autoSpaceDN w:val="0"/>
        <w:bidi w:val="0"/>
        <w:adjustRightInd w:val="0"/>
        <w:spacing w:after="40" w:line="240" w:lineRule="auto"/>
        <w:ind w:left="284" w:hanging="284"/>
        <w:jc w:val="both"/>
        <w:rPr>
          <w:rFonts w:ascii="Times New Roman" w:hAnsi="Times New Roman" w:cs="Times New Roman"/>
        </w:rPr>
      </w:pPr>
      <w:r w:rsidRPr="00C20E68">
        <w:rPr>
          <w:rFonts w:asciiTheme="majorHAnsi" w:hAnsiTheme="majorHAnsi" w:cs="Times New Roman"/>
          <w:sz w:val="20"/>
          <w:szCs w:val="20"/>
        </w:rPr>
        <w:fldChar w:fldCharType="end"/>
      </w:r>
    </w:p>
    <w:sectPr w:rsidR="00172B11" w:rsidRPr="00172B11" w:rsidSect="007A73AC">
      <w:headerReference w:type="default" r:id="rId8"/>
      <w:headerReference w:type="first" r:id="rId9"/>
      <w:footerReference w:type="first" r:id="rId10"/>
      <w:pgSz w:w="11906" w:h="16838" w:code="9"/>
      <w:pgMar w:top="1134" w:right="1134" w:bottom="1134" w:left="1418" w:header="706" w:footer="70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27A5" w14:textId="77777777" w:rsidR="004449CD" w:rsidRDefault="004449CD" w:rsidP="00EE43AA">
      <w:pPr>
        <w:spacing w:after="0" w:line="240" w:lineRule="auto"/>
      </w:pPr>
      <w:r>
        <w:separator/>
      </w:r>
    </w:p>
  </w:endnote>
  <w:endnote w:type="continuationSeparator" w:id="0">
    <w:p w14:paraId="1913B15E" w14:textId="77777777" w:rsidR="004449CD" w:rsidRDefault="004449CD" w:rsidP="00EE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3579" w14:textId="77777777" w:rsidR="0005184B" w:rsidRPr="00617CEF" w:rsidRDefault="0005184B" w:rsidP="0063662F">
    <w:pPr>
      <w:pStyle w:val="Footer"/>
      <w:pBdr>
        <w:top w:val="single" w:sz="4" w:space="1" w:color="auto"/>
      </w:pBdr>
      <w:bidi w:val="0"/>
      <w:spacing w:before="240"/>
      <w:rPr>
        <w:sz w:val="10"/>
        <w:szCs w:val="10"/>
      </w:rPr>
    </w:pPr>
  </w:p>
  <w:p w14:paraId="1F6F0979" w14:textId="77777777" w:rsidR="0005184B" w:rsidRPr="000227CD" w:rsidRDefault="0005184B" w:rsidP="00617CEF">
    <w:pPr>
      <w:pStyle w:val="Footer"/>
      <w:pBdr>
        <w:top w:val="single" w:sz="4" w:space="1" w:color="auto"/>
      </w:pBdr>
      <w:bidi w:val="0"/>
      <w:rPr>
        <w:sz w:val="18"/>
        <w:szCs w:val="18"/>
      </w:rPr>
    </w:pPr>
    <w:r w:rsidRPr="000227CD">
      <w:rPr>
        <w:sz w:val="18"/>
        <w:szCs w:val="18"/>
      </w:rPr>
      <w:t>* Corresponding Author</w:t>
    </w:r>
  </w:p>
  <w:p w14:paraId="6B91CA16" w14:textId="46F685AC" w:rsidR="0005184B" w:rsidRPr="000227CD" w:rsidRDefault="0005184B" w:rsidP="00047CF5">
    <w:pPr>
      <w:pStyle w:val="Footer"/>
      <w:bidi w:val="0"/>
      <w:rPr>
        <w:sz w:val="18"/>
        <w:szCs w:val="18"/>
      </w:rPr>
    </w:pPr>
    <w:r w:rsidRPr="000227CD">
      <w:rPr>
        <w:i/>
        <w:iCs/>
        <w:sz w:val="18"/>
        <w:szCs w:val="18"/>
      </w:rPr>
      <w:t>E-mail address</w:t>
    </w:r>
    <w:r>
      <w:rPr>
        <w:i/>
        <w:iCs/>
        <w:sz w:val="18"/>
        <w:szCs w:val="18"/>
      </w:rPr>
      <w:t>es</w:t>
    </w:r>
    <w:r w:rsidRPr="000227CD">
      <w:rPr>
        <w:i/>
        <w:iCs/>
        <w:sz w:val="18"/>
        <w:szCs w:val="18"/>
      </w:rPr>
      <w:t xml:space="preserve">: </w:t>
    </w:r>
    <w:r w:rsidR="00047CF5">
      <w:rPr>
        <w:sz w:val="18"/>
        <w:szCs w:val="18"/>
      </w:rPr>
      <w:t>gh.asadzadeh@urmia.</w:t>
    </w:r>
    <w:r w:rsidRPr="000227CD">
      <w:rPr>
        <w:sz w:val="18"/>
        <w:szCs w:val="18"/>
      </w:rPr>
      <w:t>ac.ir (</w:t>
    </w:r>
    <w:r w:rsidR="00047CF5">
      <w:rPr>
        <w:sz w:val="18"/>
        <w:szCs w:val="18"/>
      </w:rPr>
      <w:t>Gholi Asadzadeh Khoshemehr</w:t>
    </w:r>
    <w:r w:rsidRPr="000227CD">
      <w:rPr>
        <w:sz w:val="18"/>
        <w:szCs w:val="18"/>
      </w:rPr>
      <w:t xml:space="preserve">), </w:t>
    </w:r>
    <w:r w:rsidR="00047CF5">
      <w:rPr>
        <w:sz w:val="18"/>
        <w:szCs w:val="18"/>
      </w:rPr>
      <w:t>h.bahadori</w:t>
    </w:r>
    <w:r w:rsidRPr="000227CD">
      <w:rPr>
        <w:sz w:val="18"/>
        <w:szCs w:val="18"/>
      </w:rPr>
      <w:t>@</w:t>
    </w:r>
    <w:r w:rsidR="00047CF5">
      <w:rPr>
        <w:sz w:val="18"/>
        <w:szCs w:val="18"/>
      </w:rPr>
      <w:t>urmia</w:t>
    </w:r>
    <w:r w:rsidRPr="000227CD">
      <w:rPr>
        <w:sz w:val="18"/>
        <w:szCs w:val="18"/>
      </w:rPr>
      <w:t>.ac.ir (</w:t>
    </w:r>
    <w:r w:rsidR="00047CF5">
      <w:rPr>
        <w:sz w:val="18"/>
        <w:szCs w:val="18"/>
      </w:rPr>
      <w:t>Hadi Bahadori</w:t>
    </w:r>
    <w:r w:rsidRPr="000227C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255E7" w14:textId="77777777" w:rsidR="004449CD" w:rsidRDefault="004449CD" w:rsidP="00EE43AA">
      <w:pPr>
        <w:spacing w:after="0" w:line="240" w:lineRule="auto"/>
      </w:pPr>
      <w:r>
        <w:separator/>
      </w:r>
    </w:p>
  </w:footnote>
  <w:footnote w:type="continuationSeparator" w:id="0">
    <w:p w14:paraId="0EE4EDA1" w14:textId="77777777" w:rsidR="004449CD" w:rsidRDefault="004449CD" w:rsidP="00EE4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0567" w14:textId="2E0C13B1" w:rsidR="0005184B" w:rsidRPr="0091392E" w:rsidRDefault="003E3524" w:rsidP="00FE5D26">
    <w:pPr>
      <w:pStyle w:val="Header"/>
      <w:bidi w:val="0"/>
      <w:rPr>
        <w:rFonts w:cs="Calibri"/>
        <w:i/>
        <w:iCs/>
        <w:sz w:val="18"/>
        <w:szCs w:val="18"/>
        <w:lang w:val="fr-FR"/>
      </w:rPr>
    </w:pPr>
    <w:r>
      <w:rPr>
        <w:i/>
        <w:iCs/>
        <w:sz w:val="18"/>
        <w:szCs w:val="18"/>
        <w:lang w:val="fr-FR"/>
      </w:rPr>
      <w:t>Gholi Asadzadeh Khoshemer</w:t>
    </w:r>
    <w:r w:rsidR="0005184B" w:rsidRPr="0091392E">
      <w:rPr>
        <w:i/>
        <w:iCs/>
        <w:sz w:val="18"/>
        <w:szCs w:val="18"/>
        <w:lang w:val="fr-FR"/>
      </w:rPr>
      <w:t xml:space="preserve"> et al. / J. Civ. Env. Eng. </w:t>
    </w:r>
    <w:r>
      <w:rPr>
        <w:i/>
        <w:iCs/>
        <w:sz w:val="18"/>
        <w:szCs w:val="18"/>
        <w:lang w:val="fr-FR"/>
      </w:rPr>
      <w:t>………</w:t>
    </w:r>
    <w:r w:rsidR="0005184B" w:rsidRPr="0091392E">
      <w:rPr>
        <w:i/>
        <w:iCs/>
        <w:sz w:val="18"/>
        <w:szCs w:val="18"/>
        <w:lang w:val="fr-FR"/>
      </w:rPr>
      <w:t xml:space="preserve"> (</w:t>
    </w:r>
    <w:r>
      <w:rPr>
        <w:i/>
        <w:iCs/>
        <w:sz w:val="18"/>
        <w:szCs w:val="18"/>
        <w:lang w:val="fr-FR"/>
      </w:rPr>
      <w:t>2022</w:t>
    </w:r>
    <w:r w:rsidR="0005184B" w:rsidRPr="0091392E">
      <w:rPr>
        <w:i/>
        <w:iCs/>
        <w:sz w:val="18"/>
        <w:szCs w:val="18"/>
        <w:lang w:val="fr-FR"/>
      </w:rPr>
      <w:t xml:space="preserve">) </w:t>
    </w:r>
  </w:p>
  <w:p w14:paraId="5DD337B4" w14:textId="77777777" w:rsidR="0005184B" w:rsidRPr="0091392E" w:rsidRDefault="0005184B" w:rsidP="00F71FBB">
    <w:pPr>
      <w:pStyle w:val="Header"/>
      <w:pBdr>
        <w:bottom w:val="single" w:sz="4" w:space="1" w:color="auto"/>
      </w:pBdr>
      <w:bidi w:val="0"/>
      <w:rPr>
        <w:sz w:val="10"/>
        <w:szCs w:val="10"/>
        <w:lang w:val="fr-FR"/>
      </w:rPr>
    </w:pPr>
  </w:p>
  <w:p w14:paraId="0B0CD4D4" w14:textId="77777777" w:rsidR="0005184B" w:rsidRPr="0091392E" w:rsidRDefault="0005184B" w:rsidP="00F71FBB">
    <w:pPr>
      <w:pStyle w:val="Header"/>
      <w:bidi w:val="0"/>
      <w:rPr>
        <w:sz w:val="40"/>
        <w:szCs w:val="4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6E93" w14:textId="6E39A5A8" w:rsidR="0005184B" w:rsidRDefault="0073349C" w:rsidP="0098791E">
    <w:pPr>
      <w:pStyle w:val="Header"/>
      <w:pBdr>
        <w:bottom w:val="single" w:sz="4" w:space="1" w:color="auto"/>
      </w:pBdr>
      <w:bidi w:val="0"/>
      <w:rPr>
        <w:rFonts w:cs="Calibri"/>
        <w:sz w:val="20"/>
        <w:szCs w:val="20"/>
      </w:rPr>
    </w:pPr>
    <w:r>
      <w:rPr>
        <w:rFonts w:cs="Calibri"/>
        <w:noProof/>
        <w:sz w:val="20"/>
        <w:szCs w:val="20"/>
        <w:lang w:bidi="ar-SA"/>
      </w:rPr>
      <mc:AlternateContent>
        <mc:Choice Requires="wps">
          <w:drawing>
            <wp:anchor distT="0" distB="0" distL="114300" distR="114300" simplePos="0" relativeHeight="251660288" behindDoc="0" locked="0" layoutInCell="1" allowOverlap="1" wp14:anchorId="09E91254" wp14:editId="528FB5AE">
              <wp:simplePos x="0" y="0"/>
              <wp:positionH relativeFrom="column">
                <wp:posOffset>960120</wp:posOffset>
              </wp:positionH>
              <wp:positionV relativeFrom="paragraph">
                <wp:posOffset>322580</wp:posOffset>
              </wp:positionV>
              <wp:extent cx="4991100" cy="44005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400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4B32A66" w14:textId="77777777" w:rsidR="0098791E" w:rsidRPr="003B46FC" w:rsidRDefault="0098791E" w:rsidP="0098791E">
                          <w:pPr>
                            <w:pStyle w:val="Header"/>
                            <w:bidi w:val="0"/>
                            <w:rPr>
                              <w:rFonts w:cs="Calibri"/>
                              <w:i/>
                              <w:iCs/>
                              <w:sz w:val="20"/>
                              <w:szCs w:val="20"/>
                            </w:rPr>
                          </w:pPr>
                          <w:r w:rsidRPr="003B46FC">
                            <w:rPr>
                              <w:i/>
                              <w:iCs/>
                              <w:sz w:val="20"/>
                              <w:szCs w:val="20"/>
                            </w:rPr>
                            <w:t>Journal of Civil and Environmental Engineering</w:t>
                          </w:r>
                        </w:p>
                        <w:p w14:paraId="786E7FB7" w14:textId="03FA3C58" w:rsidR="0098791E" w:rsidRPr="005C4914" w:rsidRDefault="0098791E" w:rsidP="0098791E">
                          <w:pPr>
                            <w:pStyle w:val="Header"/>
                            <w:bidi w:val="0"/>
                            <w:rPr>
                              <w:rFonts w:cs="Calibri"/>
                              <w:sz w:val="20"/>
                              <w:szCs w:val="20"/>
                            </w:rPr>
                          </w:pPr>
                          <w:r>
                            <w:rPr>
                              <w:rFonts w:cs="Calibri"/>
                              <w:sz w:val="20"/>
                              <w:szCs w:val="20"/>
                            </w:rPr>
                            <w:t xml:space="preserve">Volume </w:t>
                          </w:r>
                          <w:r w:rsidR="00AC6B19">
                            <w:rPr>
                              <w:rFonts w:cs="Calibri"/>
                              <w:sz w:val="20"/>
                              <w:szCs w:val="20"/>
                            </w:rPr>
                            <w:t>…….</w:t>
                          </w:r>
                          <w:r>
                            <w:rPr>
                              <w:rFonts w:cs="Calibri"/>
                              <w:sz w:val="20"/>
                              <w:szCs w:val="20"/>
                            </w:rPr>
                            <w:t xml:space="preserve"> (</w:t>
                          </w:r>
                          <w:r w:rsidR="00AC6B19">
                            <w:rPr>
                              <w:rFonts w:cs="Calibri"/>
                              <w:sz w:val="20"/>
                              <w:szCs w:val="20"/>
                            </w:rPr>
                            <w:t>2022</w:t>
                          </w:r>
                          <w:r>
                            <w:rPr>
                              <w:rFonts w:cs="Calibri"/>
                              <w:sz w:val="20"/>
                              <w:szCs w:val="20"/>
                            </w:rPr>
                            <w:t xml:space="preserve">), Issue </w:t>
                          </w:r>
                          <w:r w:rsidR="00AC6B19">
                            <w:rPr>
                              <w:rFonts w:cs="Calibri"/>
                              <w:sz w:val="20"/>
                              <w:szCs w:val="20"/>
                            </w:rPr>
                            <w:t>……</w:t>
                          </w:r>
                          <w:r>
                            <w:rPr>
                              <w:rFonts w:cs="Calibri"/>
                              <w:sz w:val="20"/>
                              <w:szCs w:val="20"/>
                            </w:rPr>
                            <w:t>(</w:t>
                          </w:r>
                          <w:r w:rsidR="00AC6B19">
                            <w:rPr>
                              <w:rFonts w:cs="Calibri"/>
                              <w:sz w:val="20"/>
                              <w:szCs w:val="20"/>
                            </w:rPr>
                            <w:t>……..</w:t>
                          </w:r>
                          <w:r>
                            <w:rPr>
                              <w:rFonts w:cs="Calibri"/>
                              <w:sz w:val="20"/>
                              <w:szCs w:val="20"/>
                            </w:rPr>
                            <w:t xml:space="preserve">), </w:t>
                          </w:r>
                          <w:r w:rsidR="00AC6B19">
                            <w:rPr>
                              <w:rFonts w:cs="Calibri"/>
                              <w:sz w:val="20"/>
                              <w:szCs w:val="20"/>
                            </w:rPr>
                            <w:t>…….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91254" id="_x0000_t202" coordsize="21600,21600" o:spt="202" path="m,l,21600r21600,l21600,xe">
              <v:stroke joinstyle="miter"/>
              <v:path gradientshapeok="t" o:connecttype="rect"/>
            </v:shapetype>
            <v:shape id="Text Box 1" o:spid="_x0000_s1026" type="#_x0000_t202" style="position:absolute;margin-left:75.6pt;margin-top:25.4pt;width:393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" stroked="f" strokecolor="white [3212]">
              <v:textbox inset="0,0,0,0">
                <w:txbxContent>
                  <w:p w14:paraId="54B32A66" w14:textId="77777777" w:rsidR="0098791E" w:rsidRPr="003B46FC" w:rsidRDefault="0098791E" w:rsidP="0098791E">
                    <w:pPr>
                      <w:pStyle w:val="Header"/>
                      <w:bidi w:val="0"/>
                      <w:rPr>
                        <w:rFonts w:cs="Calibri"/>
                        <w:i/>
                        <w:iCs/>
                        <w:sz w:val="20"/>
                        <w:szCs w:val="20"/>
                      </w:rPr>
                    </w:pPr>
                    <w:r w:rsidRPr="003B46FC">
                      <w:rPr>
                        <w:i/>
                        <w:iCs/>
                        <w:sz w:val="20"/>
                        <w:szCs w:val="20"/>
                      </w:rPr>
                      <w:t>Journal of Civil and Environmental Engineering</w:t>
                    </w:r>
                  </w:p>
                  <w:p w14:paraId="786E7FB7" w14:textId="03FA3C58" w:rsidR="0098791E" w:rsidRPr="005C4914" w:rsidRDefault="0098791E" w:rsidP="0098791E">
                    <w:pPr>
                      <w:pStyle w:val="Header"/>
                      <w:bidi w:val="0"/>
                      <w:rPr>
                        <w:rFonts w:cs="Calibri"/>
                        <w:sz w:val="20"/>
                        <w:szCs w:val="20"/>
                      </w:rPr>
                    </w:pPr>
                    <w:r>
                      <w:rPr>
                        <w:rFonts w:cs="Calibri"/>
                        <w:sz w:val="20"/>
                        <w:szCs w:val="20"/>
                      </w:rPr>
                      <w:t xml:space="preserve">Volume </w:t>
                    </w:r>
                    <w:r w:rsidR="00AC6B19">
                      <w:rPr>
                        <w:rFonts w:cs="Calibri"/>
                        <w:sz w:val="20"/>
                        <w:szCs w:val="20"/>
                      </w:rPr>
                      <w:t>…….</w:t>
                    </w:r>
                    <w:r>
                      <w:rPr>
                        <w:rFonts w:cs="Calibri"/>
                        <w:sz w:val="20"/>
                        <w:szCs w:val="20"/>
                      </w:rPr>
                      <w:t xml:space="preserve"> (</w:t>
                    </w:r>
                    <w:r w:rsidR="00AC6B19">
                      <w:rPr>
                        <w:rFonts w:cs="Calibri"/>
                        <w:sz w:val="20"/>
                        <w:szCs w:val="20"/>
                      </w:rPr>
                      <w:t>2022</w:t>
                    </w:r>
                    <w:r>
                      <w:rPr>
                        <w:rFonts w:cs="Calibri"/>
                        <w:sz w:val="20"/>
                        <w:szCs w:val="20"/>
                      </w:rPr>
                      <w:t xml:space="preserve">), Issue </w:t>
                    </w:r>
                    <w:r w:rsidR="00AC6B19">
                      <w:rPr>
                        <w:rFonts w:cs="Calibri"/>
                        <w:sz w:val="20"/>
                        <w:szCs w:val="20"/>
                      </w:rPr>
                      <w:t>……</w:t>
                    </w:r>
                    <w:r>
                      <w:rPr>
                        <w:rFonts w:cs="Calibri"/>
                        <w:sz w:val="20"/>
                        <w:szCs w:val="20"/>
                      </w:rPr>
                      <w:t>(</w:t>
                    </w:r>
                    <w:r w:rsidR="00AC6B19">
                      <w:rPr>
                        <w:rFonts w:cs="Calibri"/>
                        <w:sz w:val="20"/>
                        <w:szCs w:val="20"/>
                      </w:rPr>
                      <w:t>……..</w:t>
                    </w:r>
                    <w:r>
                      <w:rPr>
                        <w:rFonts w:cs="Calibri"/>
                        <w:sz w:val="20"/>
                        <w:szCs w:val="20"/>
                      </w:rPr>
                      <w:t xml:space="preserve">), </w:t>
                    </w:r>
                    <w:r w:rsidR="00AC6B19">
                      <w:rPr>
                        <w:rFonts w:cs="Calibri"/>
                        <w:sz w:val="20"/>
                        <w:szCs w:val="20"/>
                      </w:rPr>
                      <w:t>……. .</w:t>
                    </w:r>
                  </w:p>
                </w:txbxContent>
              </v:textbox>
            </v:shape>
          </w:pict>
        </mc:Fallback>
      </mc:AlternateContent>
    </w:r>
    <w:r w:rsidR="001928B8">
      <w:rPr>
        <w:rFonts w:cs="Calibri"/>
        <w:sz w:val="20"/>
        <w:szCs w:val="20"/>
      </w:rPr>
      <w:t xml:space="preserve"> </w:t>
    </w:r>
    <w:r w:rsidR="001928B8">
      <w:rPr>
        <w:rFonts w:cs="Calibri"/>
        <w:sz w:val="10"/>
        <w:szCs w:val="10"/>
      </w:rPr>
      <w:t xml:space="preserve"> </w:t>
    </w:r>
    <w:r w:rsidR="001928B8" w:rsidRPr="001928B8">
      <w:rPr>
        <w:rFonts w:cs="Calibri"/>
        <w:noProof/>
        <w:sz w:val="20"/>
        <w:szCs w:val="20"/>
        <w:lang w:bidi="ar-SA"/>
      </w:rPr>
      <w:drawing>
        <wp:inline distT="0" distB="0" distL="0" distR="0" wp14:anchorId="4D70DDE2" wp14:editId="7DFCF7DF">
          <wp:extent cx="650652" cy="599537"/>
          <wp:effectExtent l="19050" t="0" r="0" b="0"/>
          <wp:docPr id="6" name="Picture 3" descr="C:\Users\Carlito\Desktop\arm-Tab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ito\Desktop\arm-Tabriz.jpg"/>
                  <pic:cNvPicPr>
                    <a:picLocks noChangeAspect="1" noChangeArrowheads="1"/>
                  </pic:cNvPicPr>
                </pic:nvPicPr>
                <pic:blipFill>
                  <a:blip r:embed="rId1" cstate="print">
                    <a:lum contrast="20000"/>
                  </a:blip>
                  <a:srcRect l="3583" t="12863" r="56934" b="20863"/>
                  <a:stretch>
                    <a:fillRect/>
                  </a:stretch>
                </pic:blipFill>
                <pic:spPr bwMode="auto">
                  <a:xfrm>
                    <a:off x="0" y="0"/>
                    <a:ext cx="650652" cy="599537"/>
                  </a:xfrm>
                  <a:prstGeom prst="rect">
                    <a:avLst/>
                  </a:prstGeom>
                  <a:noFill/>
                  <a:ln w="9525">
                    <a:noFill/>
                    <a:miter lim="800000"/>
                    <a:headEnd/>
                    <a:tailEnd/>
                  </a:ln>
                </pic:spPr>
              </pic:pic>
            </a:graphicData>
          </a:graphic>
        </wp:inline>
      </w:drawing>
    </w:r>
  </w:p>
  <w:p w14:paraId="6F67EC98" w14:textId="212D56B1" w:rsidR="001928B8" w:rsidRPr="005C4914" w:rsidRDefault="0073349C" w:rsidP="001928B8">
    <w:pPr>
      <w:pStyle w:val="Header"/>
      <w:pBdr>
        <w:bottom w:val="single" w:sz="4" w:space="1" w:color="auto"/>
      </w:pBdr>
      <w:bidi w:val="0"/>
      <w:rPr>
        <w:rFonts w:cs="Calibri"/>
        <w:sz w:val="20"/>
        <w:szCs w:val="20"/>
      </w:rPr>
    </w:pPr>
    <w:r>
      <w:rPr>
        <w:rFonts w:cs="Calibri"/>
        <w:noProof/>
        <w:sz w:val="20"/>
        <w:szCs w:val="20"/>
        <w:lang w:bidi="ar-SA"/>
      </w:rPr>
      <mc:AlternateContent>
        <mc:Choice Requires="wps">
          <w:drawing>
            <wp:anchor distT="0" distB="0" distL="114300" distR="114300" simplePos="0" relativeHeight="251662336" behindDoc="0" locked="0" layoutInCell="1" allowOverlap="1" wp14:anchorId="6CBE1EDE" wp14:editId="2402F994">
              <wp:simplePos x="0" y="0"/>
              <wp:positionH relativeFrom="column">
                <wp:posOffset>-67945</wp:posOffset>
              </wp:positionH>
              <wp:positionV relativeFrom="paragraph">
                <wp:posOffset>6350</wp:posOffset>
              </wp:positionV>
              <wp:extent cx="916940" cy="12446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1EA88" w14:textId="77777777" w:rsidR="001928B8" w:rsidRPr="001928B8" w:rsidRDefault="001928B8" w:rsidP="001928B8">
                          <w:pPr>
                            <w:bidi w:val="0"/>
                            <w:spacing w:after="0" w:line="240" w:lineRule="auto"/>
                            <w:jc w:val="center"/>
                            <w:rPr>
                              <w:rFonts w:ascii="Tahoma" w:hAnsi="Tahoma" w:cs="Tahoma"/>
                              <w:b/>
                              <w:bCs/>
                              <w:sz w:val="12"/>
                              <w:szCs w:val="12"/>
                            </w:rPr>
                          </w:pPr>
                          <w:r w:rsidRPr="001928B8">
                            <w:rPr>
                              <w:rFonts w:ascii="Tahoma" w:hAnsi="Tahoma" w:cs="Tahoma"/>
                              <w:b/>
                              <w:bCs/>
                              <w:sz w:val="12"/>
                              <w:szCs w:val="12"/>
                            </w:rPr>
                            <w:t>University of Tabriz</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E1EDE" id="Text Box 6" o:spid="_x0000_s1027" type="#_x0000_t202" style="position:absolute;margin-left:-5.35pt;margin-top:.5pt;width:72.2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" stroked="f">
              <v:textbox inset="0,0,0,0">
                <w:txbxContent>
                  <w:p w14:paraId="5B51EA88" w14:textId="77777777" w:rsidR="001928B8" w:rsidRPr="001928B8" w:rsidRDefault="001928B8" w:rsidP="001928B8">
                    <w:pPr>
                      <w:bidi w:val="0"/>
                      <w:spacing w:after="0" w:line="240" w:lineRule="auto"/>
                      <w:jc w:val="center"/>
                      <w:rPr>
                        <w:rFonts w:ascii="Tahoma" w:hAnsi="Tahoma" w:cs="Tahoma"/>
                        <w:b/>
                        <w:bCs/>
                        <w:sz w:val="12"/>
                        <w:szCs w:val="12"/>
                      </w:rPr>
                    </w:pPr>
                    <w:r w:rsidRPr="001928B8">
                      <w:rPr>
                        <w:rFonts w:ascii="Tahoma" w:hAnsi="Tahoma" w:cs="Tahoma"/>
                        <w:b/>
                        <w:bCs/>
                        <w:sz w:val="12"/>
                        <w:szCs w:val="12"/>
                      </w:rPr>
                      <w:t>University of Tabriz</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B1722"/>
    <w:multiLevelType w:val="hybridMultilevel"/>
    <w:tmpl w:val="31445A2A"/>
    <w:lvl w:ilvl="0" w:tplc="CC4052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52B3FDB"/>
    <w:multiLevelType w:val="hybridMultilevel"/>
    <w:tmpl w:val="F1E47F08"/>
    <w:lvl w:ilvl="0" w:tplc="CC4052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_St_Andr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trz90pa55a9ner2w85a5d4wvwrz2axarsd&quot;&gt;My EndNote Library isi&lt;record-ids&gt;&lt;item&gt;115&lt;/item&gt;&lt;item&gt;185&lt;/item&gt;&lt;/record-ids&gt;&lt;/item&gt;&lt;/Libraries&gt;"/>
  </w:docVars>
  <w:rsids>
    <w:rsidRoot w:val="0072725A"/>
    <w:rsid w:val="00015EAD"/>
    <w:rsid w:val="000177C8"/>
    <w:rsid w:val="000223E3"/>
    <w:rsid w:val="000227CD"/>
    <w:rsid w:val="00024BE4"/>
    <w:rsid w:val="000262A3"/>
    <w:rsid w:val="000262D9"/>
    <w:rsid w:val="00045516"/>
    <w:rsid w:val="00047CF5"/>
    <w:rsid w:val="0005184B"/>
    <w:rsid w:val="00052CC6"/>
    <w:rsid w:val="00055120"/>
    <w:rsid w:val="00055D66"/>
    <w:rsid w:val="000703DE"/>
    <w:rsid w:val="00077753"/>
    <w:rsid w:val="00080EC2"/>
    <w:rsid w:val="000838A4"/>
    <w:rsid w:val="00083CEE"/>
    <w:rsid w:val="00087213"/>
    <w:rsid w:val="000938EB"/>
    <w:rsid w:val="000968DE"/>
    <w:rsid w:val="000A6C59"/>
    <w:rsid w:val="000C0823"/>
    <w:rsid w:val="000E1957"/>
    <w:rsid w:val="000E76E7"/>
    <w:rsid w:val="000F7DF8"/>
    <w:rsid w:val="001000EA"/>
    <w:rsid w:val="001056EB"/>
    <w:rsid w:val="00107498"/>
    <w:rsid w:val="00114D2D"/>
    <w:rsid w:val="0012057C"/>
    <w:rsid w:val="00131161"/>
    <w:rsid w:val="00135015"/>
    <w:rsid w:val="00144D30"/>
    <w:rsid w:val="001461F3"/>
    <w:rsid w:val="001510DF"/>
    <w:rsid w:val="0015499E"/>
    <w:rsid w:val="00155FD1"/>
    <w:rsid w:val="00172B11"/>
    <w:rsid w:val="001928B8"/>
    <w:rsid w:val="001947B3"/>
    <w:rsid w:val="001A482D"/>
    <w:rsid w:val="001B2887"/>
    <w:rsid w:val="001B34E6"/>
    <w:rsid w:val="001C152D"/>
    <w:rsid w:val="001C285A"/>
    <w:rsid w:val="001D28A4"/>
    <w:rsid w:val="001D2A33"/>
    <w:rsid w:val="001D506C"/>
    <w:rsid w:val="001E10A0"/>
    <w:rsid w:val="001E1697"/>
    <w:rsid w:val="001F1FB4"/>
    <w:rsid w:val="001F3769"/>
    <w:rsid w:val="00204144"/>
    <w:rsid w:val="002141A6"/>
    <w:rsid w:val="002220D8"/>
    <w:rsid w:val="00225250"/>
    <w:rsid w:val="00250DE0"/>
    <w:rsid w:val="002649BC"/>
    <w:rsid w:val="00266A03"/>
    <w:rsid w:val="00275AD0"/>
    <w:rsid w:val="00283DD7"/>
    <w:rsid w:val="002841D9"/>
    <w:rsid w:val="00285440"/>
    <w:rsid w:val="0028594C"/>
    <w:rsid w:val="00295285"/>
    <w:rsid w:val="002976C7"/>
    <w:rsid w:val="002A29A1"/>
    <w:rsid w:val="002B048F"/>
    <w:rsid w:val="002B39D9"/>
    <w:rsid w:val="002B7D7A"/>
    <w:rsid w:val="002D5696"/>
    <w:rsid w:val="002E1985"/>
    <w:rsid w:val="002E19CB"/>
    <w:rsid w:val="002F2628"/>
    <w:rsid w:val="002F60AE"/>
    <w:rsid w:val="003001DF"/>
    <w:rsid w:val="00304616"/>
    <w:rsid w:val="00304F9F"/>
    <w:rsid w:val="0031703C"/>
    <w:rsid w:val="003253A2"/>
    <w:rsid w:val="003355C3"/>
    <w:rsid w:val="0033742C"/>
    <w:rsid w:val="00340FA5"/>
    <w:rsid w:val="003433C1"/>
    <w:rsid w:val="003471BF"/>
    <w:rsid w:val="00353A87"/>
    <w:rsid w:val="00362A66"/>
    <w:rsid w:val="00374AC1"/>
    <w:rsid w:val="00390B40"/>
    <w:rsid w:val="003965D5"/>
    <w:rsid w:val="003B1A88"/>
    <w:rsid w:val="003B46FC"/>
    <w:rsid w:val="003B498D"/>
    <w:rsid w:val="003C4EBD"/>
    <w:rsid w:val="003E067C"/>
    <w:rsid w:val="003E3524"/>
    <w:rsid w:val="003E7BE8"/>
    <w:rsid w:val="003F081B"/>
    <w:rsid w:val="003F0A5F"/>
    <w:rsid w:val="003F5B9A"/>
    <w:rsid w:val="004026EB"/>
    <w:rsid w:val="004100C1"/>
    <w:rsid w:val="004115A2"/>
    <w:rsid w:val="004115FC"/>
    <w:rsid w:val="004171D0"/>
    <w:rsid w:val="00420780"/>
    <w:rsid w:val="00430718"/>
    <w:rsid w:val="00433F07"/>
    <w:rsid w:val="0044151B"/>
    <w:rsid w:val="00443C21"/>
    <w:rsid w:val="004449CD"/>
    <w:rsid w:val="00450590"/>
    <w:rsid w:val="00453FFE"/>
    <w:rsid w:val="0045588A"/>
    <w:rsid w:val="004644C2"/>
    <w:rsid w:val="0047017F"/>
    <w:rsid w:val="00477ADD"/>
    <w:rsid w:val="00485475"/>
    <w:rsid w:val="004C3197"/>
    <w:rsid w:val="004C6B17"/>
    <w:rsid w:val="004C6BF0"/>
    <w:rsid w:val="004D04A9"/>
    <w:rsid w:val="004E3757"/>
    <w:rsid w:val="004E3C1F"/>
    <w:rsid w:val="004E78D7"/>
    <w:rsid w:val="004E7CD6"/>
    <w:rsid w:val="004F0D3D"/>
    <w:rsid w:val="00516932"/>
    <w:rsid w:val="00525BF9"/>
    <w:rsid w:val="0054064C"/>
    <w:rsid w:val="00540BEA"/>
    <w:rsid w:val="0055382C"/>
    <w:rsid w:val="0056454A"/>
    <w:rsid w:val="0059379F"/>
    <w:rsid w:val="00594E36"/>
    <w:rsid w:val="005A273D"/>
    <w:rsid w:val="005A54CA"/>
    <w:rsid w:val="005A5A1B"/>
    <w:rsid w:val="005B23C1"/>
    <w:rsid w:val="005B396D"/>
    <w:rsid w:val="005B6038"/>
    <w:rsid w:val="005B7C85"/>
    <w:rsid w:val="005C1A5D"/>
    <w:rsid w:val="005C4914"/>
    <w:rsid w:val="005C7216"/>
    <w:rsid w:val="005E56C1"/>
    <w:rsid w:val="005E5D87"/>
    <w:rsid w:val="005E6463"/>
    <w:rsid w:val="00614C28"/>
    <w:rsid w:val="00617CEF"/>
    <w:rsid w:val="0062745A"/>
    <w:rsid w:val="00630BCA"/>
    <w:rsid w:val="006311B6"/>
    <w:rsid w:val="0063662F"/>
    <w:rsid w:val="0064265F"/>
    <w:rsid w:val="00642764"/>
    <w:rsid w:val="00651ADD"/>
    <w:rsid w:val="006565E6"/>
    <w:rsid w:val="00657044"/>
    <w:rsid w:val="00661629"/>
    <w:rsid w:val="0067372F"/>
    <w:rsid w:val="00675DEB"/>
    <w:rsid w:val="00686428"/>
    <w:rsid w:val="006944CE"/>
    <w:rsid w:val="006A2660"/>
    <w:rsid w:val="006B25BE"/>
    <w:rsid w:val="006C1BC0"/>
    <w:rsid w:val="006C548B"/>
    <w:rsid w:val="006D00A0"/>
    <w:rsid w:val="006D1625"/>
    <w:rsid w:val="006F072B"/>
    <w:rsid w:val="006F3174"/>
    <w:rsid w:val="007242CB"/>
    <w:rsid w:val="0072725A"/>
    <w:rsid w:val="0073349C"/>
    <w:rsid w:val="00747DE8"/>
    <w:rsid w:val="00750198"/>
    <w:rsid w:val="007544E4"/>
    <w:rsid w:val="00757460"/>
    <w:rsid w:val="0076339B"/>
    <w:rsid w:val="007642FC"/>
    <w:rsid w:val="00766063"/>
    <w:rsid w:val="00771F1B"/>
    <w:rsid w:val="00776320"/>
    <w:rsid w:val="00796E0E"/>
    <w:rsid w:val="007976D8"/>
    <w:rsid w:val="007A6432"/>
    <w:rsid w:val="007A6BB6"/>
    <w:rsid w:val="007A73AC"/>
    <w:rsid w:val="007B00B4"/>
    <w:rsid w:val="007C4458"/>
    <w:rsid w:val="007C5430"/>
    <w:rsid w:val="007C64A0"/>
    <w:rsid w:val="007D0EF8"/>
    <w:rsid w:val="007D12E2"/>
    <w:rsid w:val="007D51D9"/>
    <w:rsid w:val="007D5C05"/>
    <w:rsid w:val="007E0A59"/>
    <w:rsid w:val="007E4899"/>
    <w:rsid w:val="007E5139"/>
    <w:rsid w:val="00812FA8"/>
    <w:rsid w:val="00814E5F"/>
    <w:rsid w:val="00815FE7"/>
    <w:rsid w:val="00827558"/>
    <w:rsid w:val="008301C1"/>
    <w:rsid w:val="00842E64"/>
    <w:rsid w:val="0086331E"/>
    <w:rsid w:val="00864847"/>
    <w:rsid w:val="008675B2"/>
    <w:rsid w:val="00871416"/>
    <w:rsid w:val="008930F6"/>
    <w:rsid w:val="00893176"/>
    <w:rsid w:val="008A72B1"/>
    <w:rsid w:val="008B0006"/>
    <w:rsid w:val="008B203D"/>
    <w:rsid w:val="008B6B02"/>
    <w:rsid w:val="008C3319"/>
    <w:rsid w:val="008C6A80"/>
    <w:rsid w:val="008C7349"/>
    <w:rsid w:val="008C7599"/>
    <w:rsid w:val="008C75F9"/>
    <w:rsid w:val="008D483C"/>
    <w:rsid w:val="008D55D4"/>
    <w:rsid w:val="008D5873"/>
    <w:rsid w:val="008D5E04"/>
    <w:rsid w:val="008E7F11"/>
    <w:rsid w:val="008F3F6D"/>
    <w:rsid w:val="009129A9"/>
    <w:rsid w:val="0091392E"/>
    <w:rsid w:val="009228F3"/>
    <w:rsid w:val="00934F66"/>
    <w:rsid w:val="00951D18"/>
    <w:rsid w:val="009528F5"/>
    <w:rsid w:val="00953C58"/>
    <w:rsid w:val="00956873"/>
    <w:rsid w:val="009579CE"/>
    <w:rsid w:val="00961E07"/>
    <w:rsid w:val="00970583"/>
    <w:rsid w:val="00971908"/>
    <w:rsid w:val="009753E5"/>
    <w:rsid w:val="009761E1"/>
    <w:rsid w:val="0098371F"/>
    <w:rsid w:val="0098791E"/>
    <w:rsid w:val="00987F4B"/>
    <w:rsid w:val="00990425"/>
    <w:rsid w:val="009A0E2C"/>
    <w:rsid w:val="009A3DE4"/>
    <w:rsid w:val="009A4D90"/>
    <w:rsid w:val="009C278E"/>
    <w:rsid w:val="009F3097"/>
    <w:rsid w:val="009F542A"/>
    <w:rsid w:val="00A1112A"/>
    <w:rsid w:val="00A16736"/>
    <w:rsid w:val="00A468FE"/>
    <w:rsid w:val="00A5238D"/>
    <w:rsid w:val="00A5583B"/>
    <w:rsid w:val="00A63E1D"/>
    <w:rsid w:val="00A76471"/>
    <w:rsid w:val="00A822EE"/>
    <w:rsid w:val="00A87F28"/>
    <w:rsid w:val="00A90351"/>
    <w:rsid w:val="00A91B4C"/>
    <w:rsid w:val="00A94441"/>
    <w:rsid w:val="00AB434C"/>
    <w:rsid w:val="00AB523E"/>
    <w:rsid w:val="00AB70F7"/>
    <w:rsid w:val="00AB7BED"/>
    <w:rsid w:val="00AC3B97"/>
    <w:rsid w:val="00AC5235"/>
    <w:rsid w:val="00AC6227"/>
    <w:rsid w:val="00AC6B19"/>
    <w:rsid w:val="00AD088A"/>
    <w:rsid w:val="00AD4F4F"/>
    <w:rsid w:val="00AD5A96"/>
    <w:rsid w:val="00AE1699"/>
    <w:rsid w:val="00AF1F8A"/>
    <w:rsid w:val="00AF21DB"/>
    <w:rsid w:val="00AF7E8D"/>
    <w:rsid w:val="00B1331D"/>
    <w:rsid w:val="00B16250"/>
    <w:rsid w:val="00B31D95"/>
    <w:rsid w:val="00B371A9"/>
    <w:rsid w:val="00B37AD5"/>
    <w:rsid w:val="00B412C8"/>
    <w:rsid w:val="00B45EAA"/>
    <w:rsid w:val="00B51892"/>
    <w:rsid w:val="00B627C2"/>
    <w:rsid w:val="00B71670"/>
    <w:rsid w:val="00B80BDB"/>
    <w:rsid w:val="00B91234"/>
    <w:rsid w:val="00BA62C9"/>
    <w:rsid w:val="00BB0E6F"/>
    <w:rsid w:val="00BC0F07"/>
    <w:rsid w:val="00BD301F"/>
    <w:rsid w:val="00BD43D5"/>
    <w:rsid w:val="00BD6425"/>
    <w:rsid w:val="00BD710D"/>
    <w:rsid w:val="00BE555A"/>
    <w:rsid w:val="00C06005"/>
    <w:rsid w:val="00C11550"/>
    <w:rsid w:val="00C1156D"/>
    <w:rsid w:val="00C20E68"/>
    <w:rsid w:val="00C24D17"/>
    <w:rsid w:val="00C257C2"/>
    <w:rsid w:val="00C371B8"/>
    <w:rsid w:val="00C40D3B"/>
    <w:rsid w:val="00C6133C"/>
    <w:rsid w:val="00C63172"/>
    <w:rsid w:val="00C67066"/>
    <w:rsid w:val="00C710C8"/>
    <w:rsid w:val="00C8141F"/>
    <w:rsid w:val="00C8200E"/>
    <w:rsid w:val="00CB0EBE"/>
    <w:rsid w:val="00CC4CAE"/>
    <w:rsid w:val="00CD15FF"/>
    <w:rsid w:val="00CD7735"/>
    <w:rsid w:val="00CE6E25"/>
    <w:rsid w:val="00CF2A21"/>
    <w:rsid w:val="00D14ECC"/>
    <w:rsid w:val="00D21F5F"/>
    <w:rsid w:val="00D27170"/>
    <w:rsid w:val="00D3070E"/>
    <w:rsid w:val="00D43710"/>
    <w:rsid w:val="00D44B15"/>
    <w:rsid w:val="00D7035E"/>
    <w:rsid w:val="00D70A2A"/>
    <w:rsid w:val="00D7196F"/>
    <w:rsid w:val="00D8050E"/>
    <w:rsid w:val="00D824AC"/>
    <w:rsid w:val="00D9494A"/>
    <w:rsid w:val="00DA4845"/>
    <w:rsid w:val="00DC21D7"/>
    <w:rsid w:val="00DC7F51"/>
    <w:rsid w:val="00DD5B37"/>
    <w:rsid w:val="00DE1BBD"/>
    <w:rsid w:val="00DE2A65"/>
    <w:rsid w:val="00DF254B"/>
    <w:rsid w:val="00DF7AE0"/>
    <w:rsid w:val="00E1592C"/>
    <w:rsid w:val="00E15F8D"/>
    <w:rsid w:val="00E45342"/>
    <w:rsid w:val="00E50899"/>
    <w:rsid w:val="00E5419E"/>
    <w:rsid w:val="00E74D12"/>
    <w:rsid w:val="00E83E54"/>
    <w:rsid w:val="00E84009"/>
    <w:rsid w:val="00E87267"/>
    <w:rsid w:val="00E90994"/>
    <w:rsid w:val="00E935E1"/>
    <w:rsid w:val="00EA2604"/>
    <w:rsid w:val="00EA647A"/>
    <w:rsid w:val="00EB1D99"/>
    <w:rsid w:val="00EB7078"/>
    <w:rsid w:val="00EB71E3"/>
    <w:rsid w:val="00EC17AA"/>
    <w:rsid w:val="00ED1B6C"/>
    <w:rsid w:val="00EE103C"/>
    <w:rsid w:val="00EE43AA"/>
    <w:rsid w:val="00F04E27"/>
    <w:rsid w:val="00F1519D"/>
    <w:rsid w:val="00F16733"/>
    <w:rsid w:val="00F34130"/>
    <w:rsid w:val="00F41222"/>
    <w:rsid w:val="00F64F58"/>
    <w:rsid w:val="00F71FBB"/>
    <w:rsid w:val="00F72255"/>
    <w:rsid w:val="00F7545B"/>
    <w:rsid w:val="00F76B83"/>
    <w:rsid w:val="00FD7488"/>
    <w:rsid w:val="00FE5D26"/>
    <w:rsid w:val="00FE5D9A"/>
    <w:rsid w:val="00FF2C50"/>
    <w:rsid w:val="00FF7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9589C7"/>
  <w15:docId w15:val="{25DC86A9-33E1-4D7D-8BB7-BC88E2B4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35"/>
    <w:pPr>
      <w:bidi/>
      <w:spacing w:after="200" w:line="276" w:lineRule="auto"/>
    </w:pPr>
    <w:rPr>
      <w:rFonts w:eastAsia="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D5E04"/>
    <w:rPr>
      <w:rFonts w:ascii="Tahoma" w:hAnsi="Tahoma" w:cs="Tahoma"/>
      <w:sz w:val="16"/>
      <w:szCs w:val="16"/>
    </w:rPr>
  </w:style>
  <w:style w:type="table" w:styleId="TableGrid">
    <w:name w:val="Table Grid"/>
    <w:basedOn w:val="TableNormal"/>
    <w:uiPriority w:val="59"/>
    <w:rsid w:val="007C54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semiHidden/>
    <w:rsid w:val="00340FA5"/>
    <w:rPr>
      <w:rFonts w:cs="Times New Roman"/>
      <w:color w:val="808080"/>
    </w:rPr>
  </w:style>
  <w:style w:type="paragraph" w:styleId="Header">
    <w:name w:val="header"/>
    <w:basedOn w:val="Normal"/>
    <w:link w:val="HeaderChar"/>
    <w:rsid w:val="00EE43AA"/>
    <w:pPr>
      <w:tabs>
        <w:tab w:val="center" w:pos="4680"/>
        <w:tab w:val="right" w:pos="9360"/>
      </w:tabs>
      <w:spacing w:after="0" w:line="240" w:lineRule="auto"/>
    </w:pPr>
  </w:style>
  <w:style w:type="character" w:customStyle="1" w:styleId="HeaderChar">
    <w:name w:val="Header Char"/>
    <w:basedOn w:val="DefaultParagraphFont"/>
    <w:link w:val="Header"/>
    <w:locked/>
    <w:rsid w:val="00EE43AA"/>
    <w:rPr>
      <w:rFonts w:cs="Times New Roman"/>
    </w:rPr>
  </w:style>
  <w:style w:type="paragraph" w:styleId="Footer">
    <w:name w:val="footer"/>
    <w:basedOn w:val="Normal"/>
    <w:link w:val="FooterChar"/>
    <w:rsid w:val="00EE43AA"/>
    <w:pPr>
      <w:tabs>
        <w:tab w:val="center" w:pos="4680"/>
        <w:tab w:val="right" w:pos="9360"/>
      </w:tabs>
      <w:spacing w:after="0" w:line="240" w:lineRule="auto"/>
    </w:pPr>
  </w:style>
  <w:style w:type="character" w:customStyle="1" w:styleId="FooterChar">
    <w:name w:val="Footer Char"/>
    <w:basedOn w:val="DefaultParagraphFont"/>
    <w:link w:val="Footer"/>
    <w:locked/>
    <w:rsid w:val="00EE43AA"/>
    <w:rPr>
      <w:rFonts w:cs="Times New Roman"/>
    </w:rPr>
  </w:style>
  <w:style w:type="paragraph" w:styleId="ListParagraph">
    <w:name w:val="List Paragraph"/>
    <w:basedOn w:val="Normal"/>
    <w:uiPriority w:val="34"/>
    <w:qFormat/>
    <w:rsid w:val="00771F1B"/>
    <w:pPr>
      <w:ind w:left="720"/>
    </w:pPr>
  </w:style>
  <w:style w:type="paragraph" w:customStyle="1" w:styleId="EndNoteBibliographyTitle">
    <w:name w:val="EndNote Bibliography Title"/>
    <w:basedOn w:val="Normal"/>
    <w:link w:val="EndNoteBibliographyTitleChar"/>
    <w:rsid w:val="003E3524"/>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E3524"/>
    <w:rPr>
      <w:rFonts w:eastAsia="Times New Roman" w:cs="Calibri"/>
      <w:noProof/>
      <w:sz w:val="22"/>
      <w:szCs w:val="22"/>
      <w:lang w:bidi="fa-IR"/>
    </w:rPr>
  </w:style>
  <w:style w:type="paragraph" w:customStyle="1" w:styleId="EndNoteBibliography">
    <w:name w:val="EndNote Bibliography"/>
    <w:basedOn w:val="Normal"/>
    <w:link w:val="EndNoteBibliographyChar"/>
    <w:rsid w:val="003E3524"/>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3E3524"/>
    <w:rPr>
      <w:rFonts w:eastAsia="Times New Roman" w:cs="Calibri"/>
      <w:noProof/>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EXTENDED ABSTRACTS</vt:lpstr>
    </vt:vector>
  </TitlesOfParts>
  <Company>Remis</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ABSTRACTS</dc:title>
  <dc:creator>mrbagheri</dc:creator>
  <cp:lastModifiedBy>MRT www.Win2Farsi.com</cp:lastModifiedBy>
  <cp:revision>2</cp:revision>
  <cp:lastPrinted>2016-10-25T09:39:00Z</cp:lastPrinted>
  <dcterms:created xsi:type="dcterms:W3CDTF">2023-06-13T04:33:00Z</dcterms:created>
  <dcterms:modified xsi:type="dcterms:W3CDTF">2023-06-13T04:33:00Z</dcterms:modified>
</cp:coreProperties>
</file>